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714EE6">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230"/>
      </w:tblGrid>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31.10.2025</w:t>
            </w:r>
          </w:p>
        </w:tc>
      </w:tr>
      <w:tr w:rsidR="00000000">
        <w:tblPrEx>
          <w:tblBorders>
            <w:bottom w:val="none" w:sz="0" w:space="0" w:color="auto"/>
          </w:tblBorders>
          <w:tblCellMar>
            <w:top w:w="0" w:type="dxa"/>
            <w:bottom w:w="0" w:type="dxa"/>
          </w:tblCellMar>
        </w:tblPrEx>
        <w:trPr>
          <w:trHeight w:val="300"/>
        </w:trPr>
        <w:tc>
          <w:tcPr>
            <w:tcW w:w="5230" w:type="dxa"/>
            <w:tcBorders>
              <w:top w:val="nil"/>
              <w:left w:val="nil"/>
              <w:bottom w:val="nil"/>
              <w:right w:val="nil"/>
            </w:tcBorders>
            <w:vAlign w:val="bottom"/>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реєстрації особою електронного документа)</w:t>
            </w:r>
          </w:p>
        </w:tc>
      </w:tr>
      <w:tr w:rsidR="00000000">
        <w:tblPrEx>
          <w:tblCellMar>
            <w:top w:w="0" w:type="dxa"/>
            <w:bottom w:w="0" w:type="dxa"/>
          </w:tblCellMar>
        </w:tblPrEx>
        <w:trPr>
          <w:trHeight w:val="300"/>
        </w:trPr>
        <w:tc>
          <w:tcPr>
            <w:tcW w:w="5230" w:type="dxa"/>
            <w:tcBorders>
              <w:top w:val="nil"/>
              <w:left w:val="nil"/>
              <w:bottom w:val="single" w:sz="6" w:space="0" w:color="auto"/>
              <w:right w:val="nil"/>
            </w:tcBorders>
            <w:vAlign w:val="bottom"/>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377</w:t>
            </w:r>
          </w:p>
        </w:tc>
      </w:tr>
      <w:tr w:rsidR="00000000">
        <w:tblPrEx>
          <w:tblCellMar>
            <w:top w:w="0" w:type="dxa"/>
            <w:bottom w:w="0" w:type="dxa"/>
          </w:tblCellMar>
        </w:tblPrEx>
        <w:trPr>
          <w:trHeight w:val="300"/>
        </w:trPr>
        <w:tc>
          <w:tcPr>
            <w:tcW w:w="5230" w:type="dxa"/>
            <w:tcBorders>
              <w:top w:val="nil"/>
              <w:left w:val="nil"/>
              <w:bottom w:val="nil"/>
              <w:right w:val="nil"/>
            </w:tcBorders>
            <w:vAlign w:val="bottom"/>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0"/>
          <w:szCs w:val="2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0465"/>
      </w:tblGrid>
      <w:tr w:rsidR="00000000">
        <w:tblPrEx>
          <w:tblCellMar>
            <w:top w:w="0" w:type="dxa"/>
            <w:bottom w:w="0" w:type="dxa"/>
          </w:tblCellMar>
        </w:tblPrEx>
        <w:trPr>
          <w:trHeight w:val="300"/>
        </w:trPr>
        <w:tc>
          <w:tcPr>
            <w:tcW w:w="10465" w:type="dxa"/>
            <w:tcBorders>
              <w:top w:val="nil"/>
              <w:left w:val="nil"/>
              <w:bottom w:val="nil"/>
              <w:right w:val="nil"/>
            </w:tcBorders>
            <w:vAlign w:val="bottom"/>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3334"/>
        <w:gridCol w:w="236"/>
        <w:gridCol w:w="3284"/>
      </w:tblGrid>
      <w:tr w:rsidR="00000000">
        <w:tblPrEx>
          <w:tblCellMar>
            <w:top w:w="0" w:type="dxa"/>
            <w:bottom w:w="0" w:type="dxa"/>
          </w:tblCellMar>
        </w:tblPrEx>
        <w:trPr>
          <w:trHeight w:val="200"/>
        </w:trPr>
        <w:tc>
          <w:tcPr>
            <w:tcW w:w="3415" w:type="dxa"/>
            <w:tcBorders>
              <w:top w:val="nil"/>
              <w:left w:val="nil"/>
              <w:bottom w:val="single" w:sz="6" w:space="0" w:color="auto"/>
              <w:right w:val="nil"/>
            </w:tcBorders>
            <w:vAlign w:val="bottom"/>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Голова комiсiї з п</w:t>
            </w:r>
            <w:r>
              <w:rPr>
                <w:rFonts w:ascii="Times New Roman CYR" w:hAnsi="Times New Roman CYR" w:cs="Times New Roman CYR"/>
                <w:sz w:val="24"/>
                <w:szCs w:val="24"/>
              </w:rPr>
              <w:t>рипинення</w:t>
            </w:r>
          </w:p>
        </w:tc>
        <w:tc>
          <w:tcPr>
            <w:tcW w:w="216" w:type="dxa"/>
            <w:tcBorders>
              <w:top w:val="nil"/>
              <w:left w:val="nil"/>
              <w:bottom w:val="nil"/>
              <w:right w:val="nil"/>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334" w:type="dxa"/>
            <w:tcBorders>
              <w:top w:val="nil"/>
              <w:left w:val="nil"/>
              <w:bottom w:val="single" w:sz="6" w:space="0" w:color="auto"/>
              <w:right w:val="nil"/>
            </w:tcBorders>
            <w:vAlign w:val="bottom"/>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284" w:type="dxa"/>
            <w:tcBorders>
              <w:top w:val="nil"/>
              <w:left w:val="nil"/>
              <w:bottom w:val="single" w:sz="6" w:space="0" w:color="auto"/>
              <w:right w:val="nil"/>
            </w:tcBorders>
            <w:vAlign w:val="bottom"/>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Боярин О.П.</w:t>
            </w:r>
          </w:p>
        </w:tc>
      </w:tr>
      <w:tr w:rsidR="00000000">
        <w:tblPrEx>
          <w:tblCellMar>
            <w:top w:w="0" w:type="dxa"/>
            <w:bottom w:w="0" w:type="dxa"/>
          </w:tblCellMar>
        </w:tblPrEx>
        <w:trPr>
          <w:trHeight w:val="200"/>
        </w:trPr>
        <w:tc>
          <w:tcPr>
            <w:tcW w:w="3415" w:type="dxa"/>
            <w:tcBorders>
              <w:top w:val="nil"/>
              <w:left w:val="nil"/>
              <w:bottom w:val="nil"/>
              <w:right w:val="nil"/>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334" w:type="dxa"/>
            <w:tcBorders>
              <w:top w:val="nil"/>
              <w:left w:val="nil"/>
              <w:bottom w:val="nil"/>
              <w:right w:val="nil"/>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(місце для накладання електронного підпису уповноваженої особи емітента/особи,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3284" w:type="dxa"/>
            <w:tcBorders>
              <w:top w:val="nil"/>
              <w:left w:val="nil"/>
              <w:bottom w:val="nil"/>
              <w:right w:val="nil"/>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Проміжний звіт</w:t>
      </w:r>
    </w:p>
    <w:p w:rsidR="00000000" w:rsidRDefault="00714EE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Приватне акцiонерне товариство "Єврокар" (30913130)</w:t>
      </w:r>
    </w:p>
    <w:p w:rsidR="00000000" w:rsidRDefault="00714EE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 2 квартал 2025 року</w:t>
      </w:r>
    </w:p>
    <w:p w:rsidR="00000000" w:rsidRDefault="00714EE6">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Рішення про затвердження проміжного звіту: , </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Особа, яка здійснює діяльність з оприлюднення регульованої інформації: </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здійснює подання звітності та/або звітних даних до Національної комісії з цінних паперів та фондового ринку: Державна установа "Агентство з розвитку iнфраструктури фондового</w:t>
      </w:r>
      <w:r>
        <w:rPr>
          <w:rFonts w:ascii="Times New Roman CYR" w:hAnsi="Times New Roman CYR" w:cs="Times New Roman CYR"/>
          <w:sz w:val="24"/>
          <w:szCs w:val="24"/>
        </w:rPr>
        <w:t xml:space="preserve"> ринку України", 21676262, Україна, DR/00002/ARM</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Дані про дату та місце оприлюднення проміжної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415"/>
        <w:gridCol w:w="236"/>
        <w:gridCol w:w="4949"/>
        <w:gridCol w:w="236"/>
        <w:gridCol w:w="1669"/>
      </w:tblGrid>
      <w:tr w:rsidR="00000000">
        <w:tblPrEx>
          <w:tblCellMar>
            <w:top w:w="0" w:type="dxa"/>
            <w:bottom w:w="0" w:type="dxa"/>
          </w:tblCellMar>
        </w:tblPrEx>
        <w:trPr>
          <w:trHeight w:val="300"/>
        </w:trPr>
        <w:tc>
          <w:tcPr>
            <w:tcW w:w="3415" w:type="dxa"/>
            <w:vMerge w:val="restart"/>
            <w:tcBorders>
              <w:top w:val="nil"/>
              <w:left w:val="nil"/>
              <w:bottom w:val="nil"/>
              <w:right w:val="nil"/>
            </w:tcBorders>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Проміжну інформацію розміщено на власному вебсайті емітента</w:t>
            </w:r>
          </w:p>
        </w:tc>
        <w:tc>
          <w:tcPr>
            <w:tcW w:w="216" w:type="dxa"/>
            <w:tcBorders>
              <w:top w:val="nil"/>
              <w:left w:val="nil"/>
              <w:bottom w:val="nil"/>
              <w:right w:val="nil"/>
            </w:tcBorders>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tc>
        <w:tc>
          <w:tcPr>
            <w:tcW w:w="4949" w:type="dxa"/>
            <w:tcBorders>
              <w:top w:val="nil"/>
              <w:left w:val="nil"/>
              <w:bottom w:val="single" w:sz="6" w:space="0" w:color="auto"/>
              <w:right w:val="nil"/>
            </w:tcBorders>
            <w:vAlign w:val="bottom"/>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ttps://www.skoda-auto.ua/company/interim-information-of-the-issuer-of-securities-for-20</w:t>
            </w:r>
            <w:r>
              <w:rPr>
                <w:rFonts w:ascii="Times New Roman CYR" w:hAnsi="Times New Roman CYR" w:cs="Times New Roman CYR"/>
                <w:sz w:val="24"/>
                <w:szCs w:val="24"/>
              </w:rPr>
              <w:t>25</w:t>
            </w:r>
          </w:p>
        </w:tc>
        <w:tc>
          <w:tcPr>
            <w:tcW w:w="216" w:type="dxa"/>
            <w:tcBorders>
              <w:top w:val="nil"/>
              <w:left w:val="nil"/>
              <w:bottom w:val="nil"/>
              <w:right w:val="nil"/>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669" w:type="dxa"/>
            <w:tcBorders>
              <w:top w:val="nil"/>
              <w:left w:val="nil"/>
              <w:bottom w:val="single" w:sz="6" w:space="0" w:color="auto"/>
              <w:right w:val="nil"/>
            </w:tcBorders>
            <w:vAlign w:val="bottom"/>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31.10.2025</w:t>
            </w:r>
          </w:p>
        </w:tc>
      </w:tr>
      <w:tr w:rsidR="00000000">
        <w:tblPrEx>
          <w:tblCellMar>
            <w:top w:w="0" w:type="dxa"/>
            <w:bottom w:w="0" w:type="dxa"/>
          </w:tblCellMar>
        </w:tblPrEx>
        <w:trPr>
          <w:trHeight w:val="300"/>
        </w:trPr>
        <w:tc>
          <w:tcPr>
            <w:tcW w:w="3415" w:type="dxa"/>
            <w:vMerge/>
            <w:tcBorders>
              <w:top w:val="nil"/>
              <w:left w:val="nil"/>
              <w:bottom w:val="nil"/>
              <w:right w:val="nil"/>
            </w:tcBorders>
          </w:tcPr>
          <w:p w:rsidR="00000000" w:rsidRDefault="00714EE6">
            <w:pPr>
              <w:widowControl w:val="0"/>
              <w:autoSpaceDE w:val="0"/>
              <w:autoSpaceDN w:val="0"/>
              <w:adjustRightInd w:val="0"/>
              <w:spacing w:after="0" w:line="240" w:lineRule="auto"/>
              <w:rPr>
                <w:rFonts w:ascii="Times New Roman CYR" w:hAnsi="Times New Roman CYR" w:cs="Times New Roman CYR"/>
                <w:sz w:val="20"/>
                <w:szCs w:val="20"/>
              </w:rPr>
            </w:pPr>
          </w:p>
        </w:tc>
        <w:tc>
          <w:tcPr>
            <w:tcW w:w="216" w:type="dxa"/>
            <w:tcBorders>
              <w:top w:val="nil"/>
              <w:left w:val="nil"/>
              <w:bottom w:val="nil"/>
              <w:right w:val="nil"/>
            </w:tcBorders>
          </w:tcPr>
          <w:p w:rsidR="00000000" w:rsidRDefault="00714EE6">
            <w:pPr>
              <w:widowControl w:val="0"/>
              <w:autoSpaceDE w:val="0"/>
              <w:autoSpaceDN w:val="0"/>
              <w:adjustRightInd w:val="0"/>
              <w:spacing w:after="0" w:line="240" w:lineRule="auto"/>
              <w:rPr>
                <w:rFonts w:ascii="Times New Roman CYR" w:hAnsi="Times New Roman CYR" w:cs="Times New Roman CYR"/>
                <w:sz w:val="20"/>
                <w:szCs w:val="20"/>
              </w:rPr>
            </w:pPr>
          </w:p>
        </w:tc>
        <w:tc>
          <w:tcPr>
            <w:tcW w:w="4949" w:type="dxa"/>
            <w:tcBorders>
              <w:top w:val="nil"/>
              <w:left w:val="nil"/>
              <w:bottom w:val="nil"/>
              <w:right w:val="nil"/>
            </w:tcBorders>
            <w:vAlign w:val="bottom"/>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вебсайту)</w:t>
            </w:r>
          </w:p>
        </w:tc>
        <w:tc>
          <w:tcPr>
            <w:tcW w:w="216" w:type="dxa"/>
            <w:tcBorders>
              <w:top w:val="nil"/>
              <w:left w:val="nil"/>
              <w:bottom w:val="nil"/>
              <w:right w:val="nil"/>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669" w:type="dxa"/>
            <w:tcBorders>
              <w:top w:val="nil"/>
              <w:left w:val="nil"/>
              <w:bottom w:val="nil"/>
              <w:right w:val="nil"/>
            </w:tcBorders>
            <w:vAlign w:val="bottom"/>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0"/>
          <w:szCs w:val="20"/>
        </w:rPr>
        <w:sectPr w:rsidR="00000000">
          <w:headerReference w:type="default" r:id="rId6"/>
          <w:pgSz w:w="12240" w:h="15840"/>
          <w:pgMar w:top="570" w:right="720" w:bottom="570" w:left="720" w:header="708" w:footer="708" w:gutter="0"/>
          <w:cols w:space="720"/>
          <w:noEndnote/>
        </w:sect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Пояснення щодо розкриття інформації</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Промiжний звiт за 2 квартал 2025 року не був затверджений жодним iз органiв Товариства, тому що законодавством, статутом та внутрiшнiми документами Товариства не передбачено затвердження промiжного звiту.</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усiх випускiв цiнних паперiв, за я</w:t>
      </w:r>
      <w:r>
        <w:rPr>
          <w:rFonts w:ascii="Times New Roman CYR" w:hAnsi="Times New Roman CYR" w:cs="Times New Roman CYR"/>
          <w:sz w:val="24"/>
          <w:szCs w:val="24"/>
        </w:rPr>
        <w:t>кими надається забезпечення не надається, тому що Товариство не є особою, яка надає забезпечення.</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всiх осiб, якi надають забезпечення за зобов'язаннями емiтента не надається, тому що Товариство не випускало забезпечених цiнних паперiв.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w:t>
      </w:r>
      <w:r>
        <w:rPr>
          <w:rFonts w:ascii="Times New Roman CYR" w:hAnsi="Times New Roman CYR" w:cs="Times New Roman CYR"/>
          <w:sz w:val="24"/>
          <w:szCs w:val="24"/>
        </w:rPr>
        <w:t>формацiя про рейтингове агентство не надається, тому що Товариства не визначає рейтингової оцiнки емiтента або цiнних паперiв вiдповiдно до ст. 4-1 Закону України "Про державне регулювання ринкiв капiталу та органiзованих товарних ринкiв".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w:t>
      </w:r>
      <w:r>
        <w:rPr>
          <w:rFonts w:ascii="Times New Roman CYR" w:hAnsi="Times New Roman CYR" w:cs="Times New Roman CYR"/>
          <w:sz w:val="24"/>
          <w:szCs w:val="24"/>
        </w:rPr>
        <w:t>судовi справи не надається, тому що Товариство не має судових справ, за якими розглядаються позовнi вимоги у розмiрi на суму 1 та бiльше вiдсоткiв активiв Товариства станом на кiнець звiтного перiоду, стороною в яких виступає Товариство.</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зв'язку з тим, що в Додатку 10 до Положення про розкриття iнформацiї емiтентами цiнних паперiв, а також особами, якi надають забезпечення за такими цiнними паперами, затвердженого рiшенням НКЦПФР вiд 06.06.2023 № 608 не передбачено роздiл, в якому потрiб</w:t>
      </w:r>
      <w:r>
        <w:rPr>
          <w:rFonts w:ascii="Times New Roman CYR" w:hAnsi="Times New Roman CYR" w:cs="Times New Roman CYR"/>
          <w:sz w:val="24"/>
          <w:szCs w:val="24"/>
        </w:rPr>
        <w:t>но вказати iнформацiю про засновникiв, така iнформацiя наводиться нижче:</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Засновниками є двi фiзичнi особи: Боярин Олег Петрович, Царенко Iгор Анатолiйович.</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щодо володiння посадовими особами акцiями Товариства не надається, тому що посадовi осо</w:t>
      </w:r>
      <w:r>
        <w:rPr>
          <w:rFonts w:ascii="Times New Roman CYR" w:hAnsi="Times New Roman CYR" w:cs="Times New Roman CYR"/>
          <w:sz w:val="24"/>
          <w:szCs w:val="24"/>
        </w:rPr>
        <w:t>би акцiями Товариства не володiють.</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вiдокремлених пiдроздiлiв не надається, тому що Товариство не має вiдокремлених пiдроздiлiв.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Уточнення щодо наявностi обмежень за акцiями не надається, тому що такi обмеження вiдсутнi.</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w:t>
      </w:r>
      <w:r>
        <w:rPr>
          <w:rFonts w:ascii="Times New Roman CYR" w:hAnsi="Times New Roman CYR" w:cs="Times New Roman CYR"/>
          <w:sz w:val="24"/>
          <w:szCs w:val="24"/>
        </w:rPr>
        <w:t>ро облiгацiї не надається, тому що Товариство не випускало облiгацiй.</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iншi цiннi папери не надається, тому що Товариство не випускало iнших цiнних паперiв.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деривативнi цiннi папери не надається, тому що Товариство не випуска</w:t>
      </w:r>
      <w:r>
        <w:rPr>
          <w:rFonts w:ascii="Times New Roman CYR" w:hAnsi="Times New Roman CYR" w:cs="Times New Roman CYR"/>
          <w:sz w:val="24"/>
          <w:szCs w:val="24"/>
        </w:rPr>
        <w:t>ло деривативнi цiннi папери.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забезпечення випуску боргових цiнних папнерiв не надається, тому що Товариство не випускало забезпечених боргових цiнних паперiв.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про стан об'єкта нерухомостi (у разi емiсiї цiльових корпоративних облiгацi</w:t>
      </w:r>
      <w:r>
        <w:rPr>
          <w:rFonts w:ascii="Times New Roman CYR" w:hAnsi="Times New Roman CYR" w:cs="Times New Roman CYR"/>
          <w:sz w:val="24"/>
          <w:szCs w:val="24"/>
        </w:rPr>
        <w:t>й, виконання зобов'язань за якими здiйснюється шляхом передання об'єкта (частини об'єкта) житлового будiвництва) не надається, тому що Товариство не випускало цiльових корпоративних облiгацiй, виконання зобов'язань за якими здiйснюється шляхом об'єкта (час</w:t>
      </w:r>
      <w:r>
        <w:rPr>
          <w:rFonts w:ascii="Times New Roman CYR" w:hAnsi="Times New Roman CYR" w:cs="Times New Roman CYR"/>
          <w:sz w:val="24"/>
          <w:szCs w:val="24"/>
        </w:rPr>
        <w:t>тини об'єкта) житлового будiвництва.</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Iнформацiя про придбання власних акцiй протягом звiтного перiоду не надається, тому що Товариство не придбавало власних акцiй протягом звiтного перiоду.</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особи цiнних па</w:t>
      </w:r>
      <w:r>
        <w:rPr>
          <w:rFonts w:ascii="Times New Roman CYR" w:hAnsi="Times New Roman CYR" w:cs="Times New Roman CYR"/>
          <w:sz w:val="24"/>
          <w:szCs w:val="24"/>
        </w:rPr>
        <w:t>перiв (крiм акцiй) такої особи не надається, тому що Товариство не випускало iнших цiнних паперiв, крiм акцiй.</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у власностi працiвникiв особи акцiй у розмiрi понад 0,1% розмiру статутного капiталу не надається, тому що працiвники Т</w:t>
      </w:r>
      <w:r>
        <w:rPr>
          <w:rFonts w:ascii="Times New Roman CYR" w:hAnsi="Times New Roman CYR" w:cs="Times New Roman CYR"/>
          <w:sz w:val="24"/>
          <w:szCs w:val="24"/>
        </w:rPr>
        <w:t>овариства не володiють акцiями Товариства.</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цiнних паперiв особи, в тому числi необхiднiсть отримання вiд особи або iнших власникiв цiнних паперiв згоди на вiдчуження таких цiнних паперiв не надається, тому що т</w:t>
      </w:r>
      <w:r>
        <w:rPr>
          <w:rFonts w:ascii="Times New Roman CYR" w:hAnsi="Times New Roman CYR" w:cs="Times New Roman CYR"/>
          <w:sz w:val="24"/>
          <w:szCs w:val="24"/>
        </w:rPr>
        <w:t>акi обмеження вiдсутнi.</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Звiт щодо огляду промiжної фiнансової звiтностi не надається, тому що Товариством не залучався суб'єкт аудиторської дiяльностi для перевiрки промiжної фiнансової звiтностi Товариства.</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значних правочинiв не надається, тому що такi правочини в Товариствi в звiтному перiодi не вчинялись.</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вчинення правочинiв, щодо вчинення яких є заiнтересованiсть, не надається, тому що протягом звiтного перiоду право</w:t>
      </w:r>
      <w:r>
        <w:rPr>
          <w:rFonts w:ascii="Times New Roman CYR" w:hAnsi="Times New Roman CYR" w:cs="Times New Roman CYR"/>
          <w:sz w:val="24"/>
          <w:szCs w:val="24"/>
        </w:rPr>
        <w:t>чини з заiнтерисованiстю не вчинялись.</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емiтента, складена за положеннями (стандартами) бухгалтерського облiку не надається, тому що Товариство подає фiнансову звiтнiсть, складену за мiжнародними стандартами фiнансової звiтност</w:t>
      </w:r>
      <w:r>
        <w:rPr>
          <w:rFonts w:ascii="Times New Roman CYR" w:hAnsi="Times New Roman CYR" w:cs="Times New Roman CYR"/>
          <w:sz w:val="24"/>
          <w:szCs w:val="24"/>
        </w:rPr>
        <w:t>i.</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та консолiдована промiжна фiнансова звiтнiсть емiтента, складена за мiжнародними стандартами фiнансової звiтностi, не надається, тому що в р. III гл.I даного промiжного звiту зазначено посилання на URL-адреса вебсайту особи</w:t>
      </w:r>
      <w:r>
        <w:rPr>
          <w:rFonts w:ascii="Times New Roman CYR" w:hAnsi="Times New Roman CYR" w:cs="Times New Roman CYR"/>
          <w:sz w:val="24"/>
          <w:szCs w:val="24"/>
        </w:rPr>
        <w:t xml:space="preserve">, за якою розмiщено промiжну фiнансову звiтнiсть на основi таксономiї фiнансової звiтностi.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стосовно РНОКПП та УНЗР деяких посадових осiб не надається, тому що РНОКПП та УНЗР в таких посадових осiб вiдсутнiй</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D65533" w:rsidRDefault="00D65533">
      <w:pPr>
        <w:widowControl w:val="0"/>
        <w:autoSpaceDE w:val="0"/>
        <w:autoSpaceDN w:val="0"/>
        <w:adjustRightInd w:val="0"/>
        <w:spacing w:after="0" w:line="240" w:lineRule="auto"/>
        <w:jc w:val="both"/>
        <w:rPr>
          <w:rFonts w:ascii="Times New Roman CYR" w:hAnsi="Times New Roman CYR" w:cs="Times New Roman CYR"/>
          <w:sz w:val="24"/>
          <w:szCs w:val="24"/>
        </w:rPr>
      </w:pPr>
    </w:p>
    <w:p w:rsidR="00D65533" w:rsidRDefault="00D65533">
      <w:pPr>
        <w:widowControl w:val="0"/>
        <w:autoSpaceDE w:val="0"/>
        <w:autoSpaceDN w:val="0"/>
        <w:adjustRightInd w:val="0"/>
        <w:spacing w:after="0" w:line="240" w:lineRule="auto"/>
        <w:jc w:val="both"/>
        <w:rPr>
          <w:rFonts w:ascii="Times New Roman CYR" w:hAnsi="Times New Roman CYR" w:cs="Times New Roman CYR"/>
          <w:sz w:val="24"/>
          <w:szCs w:val="24"/>
        </w:rPr>
      </w:pPr>
    </w:p>
    <w:p w:rsidR="00D65533" w:rsidRDefault="00D65533">
      <w:pPr>
        <w:widowControl w:val="0"/>
        <w:autoSpaceDE w:val="0"/>
        <w:autoSpaceDN w:val="0"/>
        <w:adjustRightInd w:val="0"/>
        <w:spacing w:after="0" w:line="240" w:lineRule="auto"/>
        <w:jc w:val="both"/>
        <w:rPr>
          <w:rFonts w:ascii="Times New Roman CYR" w:hAnsi="Times New Roman CYR" w:cs="Times New Roman CYR"/>
          <w:sz w:val="24"/>
          <w:szCs w:val="24"/>
        </w:rPr>
      </w:pPr>
    </w:p>
    <w:p w:rsidR="00D65533" w:rsidRDefault="00D65533">
      <w:pPr>
        <w:widowControl w:val="0"/>
        <w:autoSpaceDE w:val="0"/>
        <w:autoSpaceDN w:val="0"/>
        <w:adjustRightInd w:val="0"/>
        <w:spacing w:after="0" w:line="240" w:lineRule="auto"/>
        <w:jc w:val="both"/>
        <w:rPr>
          <w:rFonts w:ascii="Times New Roman CYR" w:hAnsi="Times New Roman CYR" w:cs="Times New Roman CYR"/>
          <w:sz w:val="24"/>
          <w:szCs w:val="24"/>
        </w:rPr>
      </w:pPr>
    </w:p>
    <w:p w:rsidR="00D65533" w:rsidRDefault="00D65533">
      <w:pPr>
        <w:widowControl w:val="0"/>
        <w:autoSpaceDE w:val="0"/>
        <w:autoSpaceDN w:val="0"/>
        <w:adjustRightInd w:val="0"/>
        <w:spacing w:after="0" w:line="240" w:lineRule="auto"/>
        <w:jc w:val="both"/>
        <w:rPr>
          <w:rFonts w:ascii="Times New Roman CYR" w:hAnsi="Times New Roman CYR" w:cs="Times New Roman CYR"/>
          <w:sz w:val="24"/>
          <w:szCs w:val="24"/>
        </w:rPr>
      </w:pPr>
    </w:p>
    <w:p w:rsidR="00D65533" w:rsidRDefault="00D65533">
      <w:pPr>
        <w:widowControl w:val="0"/>
        <w:autoSpaceDE w:val="0"/>
        <w:autoSpaceDN w:val="0"/>
        <w:adjustRightInd w:val="0"/>
        <w:spacing w:after="0" w:line="240" w:lineRule="auto"/>
        <w:jc w:val="both"/>
        <w:rPr>
          <w:rFonts w:ascii="Times New Roman CYR" w:hAnsi="Times New Roman CYR" w:cs="Times New Roman CYR"/>
          <w:sz w:val="24"/>
          <w:szCs w:val="24"/>
        </w:rPr>
      </w:pPr>
    </w:p>
    <w:p w:rsidR="00D65533" w:rsidRDefault="00D65533">
      <w:pPr>
        <w:widowControl w:val="0"/>
        <w:autoSpaceDE w:val="0"/>
        <w:autoSpaceDN w:val="0"/>
        <w:adjustRightInd w:val="0"/>
        <w:spacing w:after="0" w:line="240" w:lineRule="auto"/>
        <w:jc w:val="both"/>
        <w:rPr>
          <w:rFonts w:ascii="Times New Roman CYR" w:hAnsi="Times New Roman CYR" w:cs="Times New Roman CYR"/>
          <w:sz w:val="24"/>
          <w:szCs w:val="24"/>
        </w:rPr>
      </w:pPr>
    </w:p>
    <w:p w:rsidR="00D65533" w:rsidRDefault="00D65533">
      <w:pPr>
        <w:widowControl w:val="0"/>
        <w:autoSpaceDE w:val="0"/>
        <w:autoSpaceDN w:val="0"/>
        <w:adjustRightInd w:val="0"/>
        <w:spacing w:after="0" w:line="240" w:lineRule="auto"/>
        <w:jc w:val="both"/>
        <w:rPr>
          <w:rFonts w:ascii="Times New Roman CYR" w:hAnsi="Times New Roman CYR" w:cs="Times New Roman CYR"/>
          <w:sz w:val="24"/>
          <w:szCs w:val="24"/>
        </w:rPr>
      </w:pPr>
    </w:p>
    <w:p w:rsidR="00D65533" w:rsidRDefault="00D65533">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Зміст</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до проміжного звіту</w:t>
      </w:r>
    </w:p>
    <w:tbl>
      <w:tblPr>
        <w:tblW w:w="11010" w:type="dxa"/>
        <w:tblLook w:val="04A0"/>
      </w:tblPr>
      <w:tblGrid>
        <w:gridCol w:w="9180"/>
        <w:gridCol w:w="1830"/>
      </w:tblGrid>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I. Загальна інформація</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5</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1. Ідентифікаційні дані та загальна інформація</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5</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2. Органи управління та посадові особи. Організаційна структура</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8</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3. Структура власності</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16</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4. Опис господарської та фінансової діяльності</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16</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5. Участь в інших особах</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30</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II. Інформація щодо капіталу та цінних паперів</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30</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1. Цінні папери</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30</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III. Фінансова інформація</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32</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1. Проміжна фінансова звітність</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32</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3. Твердження щодо проміжної інформації</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32</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4. Значні правочини та правочини із заінтересованістю</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32</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IV. Нефінансова інформація</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32</w:t>
            </w:r>
          </w:p>
        </w:tc>
      </w:tr>
      <w:tr w:rsidR="00D65533" w:rsidTr="00D65533">
        <w:tc>
          <w:tcPr>
            <w:tcW w:w="9180" w:type="dxa"/>
          </w:tcPr>
          <w:p w:rsidR="00D65533" w:rsidRPr="00D65533" w:rsidRDefault="00D65533" w:rsidP="00D65533">
            <w:pPr>
              <w:widowControl w:val="0"/>
              <w:autoSpaceDE w:val="0"/>
              <w:autoSpaceDN w:val="0"/>
              <w:adjustRightInd w:val="0"/>
              <w:rPr>
                <w:rFonts w:ascii="Times New Roman CYR" w:hAnsi="Times New Roman CYR" w:cs="Times New Roman CYR"/>
                <w:sz w:val="24"/>
                <w:szCs w:val="24"/>
              </w:rPr>
            </w:pPr>
            <w:r w:rsidRPr="00D65533">
              <w:rPr>
                <w:rFonts w:ascii="Times New Roman CYR" w:hAnsi="Times New Roman CYR" w:cs="Times New Roman CYR"/>
                <w:sz w:val="24"/>
                <w:szCs w:val="24"/>
              </w:rPr>
              <w:t>1. Проміжний звіт керівництва</w:t>
            </w:r>
          </w:p>
        </w:tc>
        <w:tc>
          <w:tcPr>
            <w:tcW w:w="1830" w:type="dxa"/>
          </w:tcPr>
          <w:p w:rsidR="00D65533" w:rsidRPr="00D65533" w:rsidRDefault="00D65533" w:rsidP="00D65533">
            <w:pPr>
              <w:widowControl w:val="0"/>
              <w:autoSpaceDE w:val="0"/>
              <w:autoSpaceDN w:val="0"/>
              <w:adjustRightInd w:val="0"/>
              <w:jc w:val="center"/>
              <w:rPr>
                <w:rFonts w:ascii="Times New Roman CYR" w:hAnsi="Times New Roman CYR" w:cs="Times New Roman CYR"/>
                <w:sz w:val="24"/>
                <w:szCs w:val="24"/>
              </w:rPr>
            </w:pPr>
            <w:r w:rsidRPr="00D65533">
              <w:rPr>
                <w:rFonts w:ascii="Times New Roman CYR" w:hAnsi="Times New Roman CYR" w:cs="Times New Roman CYR"/>
                <w:sz w:val="24"/>
                <w:szCs w:val="24"/>
              </w:rPr>
              <w:t>32</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lastRenderedPageBreak/>
        <w:t>I. Загальна інформація</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Ідентифікаційні дані та загальна інформація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"Єврокар"</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Скорочене найменування</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ПрАТ "Єврокар"</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30913130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Дата державної реєстрації</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14.04.2000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Місцезнаходження</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89460, Україна, Закарпатська обл., Ужгородський р-н р-н, с. Соломоново, вул.Перемоги, 46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для листування</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яка розкриває інформацію</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Емітент</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Особа, яка надає забезпечення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Особа має статус підприємства, що становить суспільний інтерес</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Так</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Ні</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Категорія підприємства</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Велике</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Середнє</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Мале</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Мікро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електронної пошти для офіційного каналу зв'язку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eurocar@eurocar.ua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Адреса вебсайту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https://www.skoda-auto.ua/</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Номер телефону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(0312) 646130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Статутний капітал, грн</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234475796</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(часток/паїв) у статутному капіталі, що належить державі</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Середня кількість працівників за звітний період</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261</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17</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Основні види діяльності із зазначенням їх найменування та коду за КВЕД</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29.10 - Виробництво автотранспортних засобiв</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33.20 - Установлення та монтаж машин та устаткування</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29.32 - Виробництво iнших вузлiв, деталей i приладдя для автотранспортних засобiв</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18</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Структура управління особи</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Однорівнева</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V</w:t>
            </w:r>
            <w:r>
              <w:rPr>
                <w:rFonts w:ascii="Times New Roman CYR" w:hAnsi="Times New Roman CYR" w:cs="Times New Roman CYR"/>
                <w:sz w:val="24"/>
                <w:szCs w:val="24"/>
              </w:rPr>
              <w:tab/>
              <w:t>Дворівнева</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Інше</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Банки, що обслуговують особу: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500"/>
        <w:gridCol w:w="6465"/>
      </w:tblGrid>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долар США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UA273204780000000000260042669</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4</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гривня</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долар США</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w:t>
            </w: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Повне найменування (в т.ч. філії, відділення банку)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Акцiонерне товариство "Укргазбанк"</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23697280</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IBAN</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UA833204780000026005924860925</w:t>
            </w:r>
          </w:p>
        </w:tc>
      </w:tr>
      <w:tr w:rsidR="00000000">
        <w:tblPrEx>
          <w:tblCellMar>
            <w:top w:w="0" w:type="dxa"/>
            <w:bottom w:w="0"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3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Валюта рахунку</w:t>
            </w:r>
          </w:p>
        </w:tc>
        <w:tc>
          <w:tcPr>
            <w:tcW w:w="6465"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євро</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sectPr w:rsidR="00000000">
          <w:pgSz w:w="12240" w:h="15840"/>
          <w:pgMar w:top="570" w:right="720" w:bottom="570" w:left="720" w:header="708" w:footer="708" w:gutter="0"/>
          <w:cols w:space="720"/>
          <w:noEndnote/>
        </w:sect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Штрафні санкції щодо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200"/>
        <w:gridCol w:w="2200"/>
        <w:gridCol w:w="2200"/>
        <w:gridCol w:w="4400"/>
        <w:gridCol w:w="3850"/>
      </w:tblGrid>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Номер та дата рішення, яким накладено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Орган, який наклав штрафну санкцію</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Суть санкції (та її розмір, якщо застосовується)</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Підстава для накладення санкції (з посиланням на відповідні норми законодавства)</w:t>
            </w:r>
          </w:p>
        </w:tc>
        <w:tc>
          <w:tcPr>
            <w:tcW w:w="385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Інформація про виконання</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4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385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 1238/ж10/31-00-04-02-02-27</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19.05.2025</w:t>
            </w:r>
          </w:p>
        </w:tc>
        <w:tc>
          <w:tcPr>
            <w:tcW w:w="22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 Центральне мiжрегiональне управлiння ДПС по роботi з великими платниками податкiв</w:t>
            </w:r>
          </w:p>
        </w:tc>
        <w:tc>
          <w:tcPr>
            <w:tcW w:w="22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 Порушення граничних строкiв реєстрацiї в ЄРПН податкових накладних/розрахункiв коригувань (765,50 грн)</w:t>
            </w:r>
          </w:p>
        </w:tc>
        <w:tc>
          <w:tcPr>
            <w:tcW w:w="44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 Стаття 201, пункт 89-90 пiдроздiл 2 роздiлу ХХ "Перехiднi положення" ПК України</w:t>
            </w:r>
          </w:p>
        </w:tc>
        <w:tc>
          <w:tcPr>
            <w:tcW w:w="385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Сплачено, 24.06.2025</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2. Органи управління та посадові особи. Організаційна структура</w:t>
      </w:r>
    </w:p>
    <w:p w:rsidR="00000000" w:rsidRDefault="00714EE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450"/>
        <w:gridCol w:w="4000"/>
        <w:gridCol w:w="40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Назва органу управління (контролю)</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Кількісний склад органу управління (контролю)</w:t>
            </w:r>
          </w:p>
        </w:tc>
        <w:tc>
          <w:tcPr>
            <w:tcW w:w="40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Персональний склад органу управління (контролю)</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4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40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45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w:t>
            </w:r>
          </w:p>
        </w:tc>
        <w:tc>
          <w:tcPr>
            <w:tcW w:w="4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(чотири) акцiонери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згiдно з реєстром власникiв iменних цiнних паперiв</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45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(п'ять)</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 - Вiнфрiд Фаланд</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Заступник Голови Наглядової Ради - Панов Володимир Олексiйович</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Члени наглядової ради: Чернобай Дмитро Михайлович, Боярин Петро Iллiч, Боярин Вiктор Олегович</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45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Одноосiбний виконавчий орган - генеральний директор</w:t>
            </w:r>
          </w:p>
        </w:tc>
        <w:tc>
          <w:tcPr>
            <w:tcW w:w="4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(один)</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Боярин Олег Петрович - генеральний директор, голова комiсiї з припинення</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p w:rsidR="00000000" w:rsidRDefault="00714EE6">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щодо посадових осіб</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Рада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Голова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Вiнфрiд Фаланд</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41</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Volvo Car Corporation (Швецiя)</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556074-3089</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Ради директорiв;</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Eldor Corporation S.p.A., 02390960132 - голова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Proton Holdings Berhad , 200301020757 (623177-A) - член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Vibracoustic AG (Registration No. HRB 98601), DE813973055 - член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Polestar Automotive Holding UK PLC</w:t>
            </w:r>
            <w:r>
              <w:rPr>
                <w:rFonts w:ascii="Times New Roman CYR" w:hAnsi="Times New Roman CYR" w:cs="Times New Roman CYR"/>
                <w:sz w:val="20"/>
                <w:szCs w:val="20"/>
              </w:rPr>
              <w:t>, 13624182,  директор (член) ради директорiв, голова ради директорiв</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07.05.2024</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 до переобрання</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Голови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Панов Володимир Олексiйович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1958</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50</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w:t>
            </w:r>
            <w:r>
              <w:rPr>
                <w:rFonts w:ascii="Times New Roman CYR" w:hAnsi="Times New Roman CYR" w:cs="Times New Roman CYR"/>
                <w:sz w:val="20"/>
                <w:szCs w:val="20"/>
              </w:rPr>
              <w:lastRenderedPageBreak/>
              <w:t>ОБМЕЖЕНОЮ ВIДПОВIДАЛЬНIСТЮ "СТС",  32784440,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"СЕЗПАРКСЕРВIС"  34676141,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w:t>
            </w:r>
            <w:r>
              <w:rPr>
                <w:rFonts w:ascii="Times New Roman CYR" w:hAnsi="Times New Roman CYR" w:cs="Times New Roman CYR"/>
                <w:sz w:val="20"/>
                <w:szCs w:val="20"/>
              </w:rPr>
              <w:t>ЬНIСТЮ "ВIКО-СПОРТ" 22081542,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Обласна федерацiя роботодавцiв Закарпаття, 38015500, голова органiзацiї роботодавцiв;</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"Обласне об'єднання роботодавцiв Закарпаття", 26464101, голова об'єднання роботодавцiв;</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Закарпатська обласна органiзацiя машино</w:t>
            </w:r>
            <w:r>
              <w:rPr>
                <w:rFonts w:ascii="Times New Roman CYR" w:hAnsi="Times New Roman CYR" w:cs="Times New Roman CYR"/>
                <w:sz w:val="20"/>
                <w:szCs w:val="20"/>
              </w:rPr>
              <w:t>будування, 38369635, голова органiзацiї;</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Обласна органiзацiя рекреацiї та туризму Закарпаття, 38369640, голова органiзацiї;</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Благодiйний фонд "Фонд стратегiчних дослiджень", 25444883,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Благодiйний фонд "Карпатський Єврорегiон", 22114974, директо</w:t>
            </w:r>
            <w:r>
              <w:rPr>
                <w:rFonts w:ascii="Times New Roman CYR" w:hAnsi="Times New Roman CYR" w:cs="Times New Roman CYR"/>
                <w:sz w:val="20"/>
                <w:szCs w:val="20"/>
              </w:rPr>
              <w:t>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обмеженою </w:t>
            </w:r>
            <w:r>
              <w:rPr>
                <w:rFonts w:ascii="Times New Roman CYR" w:hAnsi="Times New Roman CYR" w:cs="Times New Roman CYR"/>
                <w:sz w:val="20"/>
                <w:szCs w:val="20"/>
              </w:rPr>
              <w:lastRenderedPageBreak/>
              <w:t>вiдповiдальнiстю "СОЛОМОНОВО ДЕВЕЛОПМЕНТ ПАРК", 45230861, директор</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07.05.2024</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3</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Чернобай Дмитро Михайлович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33</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член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07.05.2024</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Петро Iллiч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1950</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61</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"Академiя", 21545293,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"Автотрейдiнг Iнвест", 31106821, генеральний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07.05.2024</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Наглядової Ради (представник акцiонера)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Вiктор Олегович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1997</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"Американська легенда"</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3360053</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ДОЧIРНЄ ПIДПРИЄМСТВО "Мототрейдiнг Київ", 31904127,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ДОЧIРНЄ ПIДПРИЄМСТВО "Мототрейдiнг Днiпро", 32312667,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"Американська свобода",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Сервiс", 20058711, член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w:t>
            </w:r>
            <w:r>
              <w:rPr>
                <w:rFonts w:ascii="Times New Roman CYR" w:hAnsi="Times New Roman CYR" w:cs="Times New Roman CYR"/>
                <w:sz w:val="20"/>
                <w:szCs w:val="20"/>
              </w:rPr>
              <w:t>дповiдальнiстю "Єврокар", 32384621, фахiвець з iнновацiйної дiяльностi</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07.05.2024</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 роки</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Виконавчий орган</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w:t>
            </w:r>
            <w:r>
              <w:rPr>
                <w:rFonts w:ascii="Times New Roman CYR" w:hAnsi="Times New Roman CYR" w:cs="Times New Roman CYR"/>
                <w:sz w:val="20"/>
                <w:szCs w:val="20"/>
              </w:rPr>
              <w:t>соби та посада, яку займав за 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набуття повноважень та строк, на який обрано</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 (Так/Ні)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Генеральний директор, Голова комiсiї з припинення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Боярин Олег Петрович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1971</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Голови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"ЄВРОКАР", 32384621, голова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ТОВАРИСТВО З </w:t>
            </w:r>
            <w:r>
              <w:rPr>
                <w:rFonts w:ascii="Times New Roman CYR" w:hAnsi="Times New Roman CYR" w:cs="Times New Roman CYR"/>
                <w:sz w:val="20"/>
                <w:szCs w:val="20"/>
              </w:rPr>
              <w:lastRenderedPageBreak/>
              <w:t>ОБМЕЖЕНОЮ ВIДПОВIДАЛЬНIСТЮ "Атолл Холдiнг", 31237888,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"Автотрейдiнг Iнвест", 31106821, голова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"МТ Консалтiнг", 31167727, голова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w:t>
            </w:r>
            <w:r>
              <w:rPr>
                <w:rFonts w:ascii="Times New Roman CYR" w:hAnsi="Times New Roman CYR" w:cs="Times New Roman CYR"/>
                <w:sz w:val="20"/>
                <w:szCs w:val="20"/>
              </w:rPr>
              <w:t>СТВО З ОБМЕЖЕНОЮ ВIДПОВIДАЛЬНIСТЮ "ЄВРОКАР СЕРВIС", 20058711, голова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"АВТОТРЕЙДIНГ АТОЛЛ ГРУП", 35755339, директор, голова наглядової ради, член наглядової ради</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Рiчними загальними зборами акцiонерi</w:t>
            </w:r>
            <w:r>
              <w:rPr>
                <w:rFonts w:ascii="Times New Roman CYR" w:hAnsi="Times New Roman CYR" w:cs="Times New Roman CYR"/>
                <w:sz w:val="20"/>
                <w:szCs w:val="20"/>
              </w:rPr>
              <w:t>в, якi були проведенi дистанцiйно 21.04.2025, прийнято рiшення про створення комiсiї з припинення та обрано Боярина О.П. головою комiсiї з припинення строком до закiнчення процедури перетворення</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01.10.2024</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30.09.2025 (включно)</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Інші посадові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2050"/>
        <w:gridCol w:w="2100"/>
        <w:gridCol w:w="1100"/>
        <w:gridCol w:w="800"/>
        <w:gridCol w:w="1000"/>
        <w:gridCol w:w="1000"/>
        <w:gridCol w:w="900"/>
        <w:gridCol w:w="3100"/>
        <w:gridCol w:w="1400"/>
        <w:gridCol w:w="1400"/>
      </w:tblGrid>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з/п</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Рік народження</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Освіта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Повне найменування, ідентифікаційний код юридичної особи та посада, яку займав за </w:t>
            </w:r>
            <w:r>
              <w:rPr>
                <w:rFonts w:ascii="Times New Roman CYR" w:hAnsi="Times New Roman CYR" w:cs="Times New Roman CYR"/>
                <w:sz w:val="20"/>
                <w:szCs w:val="20"/>
              </w:rPr>
              <w:lastRenderedPageBreak/>
              <w:t>останні 5 років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 xml:space="preserve">Дата набуття повноважень та строк, на </w:t>
            </w:r>
            <w:r>
              <w:rPr>
                <w:rFonts w:ascii="Times New Roman CYR" w:hAnsi="Times New Roman CYR" w:cs="Times New Roman CYR"/>
                <w:sz w:val="20"/>
                <w:szCs w:val="20"/>
              </w:rPr>
              <w:lastRenderedPageBreak/>
              <w:t>який обрано</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 xml:space="preserve">Непогашена судимість за корисливі та </w:t>
            </w:r>
            <w:r>
              <w:rPr>
                <w:rFonts w:ascii="Times New Roman CYR" w:hAnsi="Times New Roman CYR" w:cs="Times New Roman CYR"/>
                <w:sz w:val="20"/>
                <w:szCs w:val="20"/>
              </w:rPr>
              <w:lastRenderedPageBreak/>
              <w:t>посадові злочини (Так/Ні)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10</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11</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Корпоративний секретар</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Бiлькiн Олег Сергiйович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1983</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начальник юридичного вiддiлу, </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"СТС", 32784440,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"СОЛОМОНОВО ДЕВЕЛОПМЕНТ ПАРК", 45230861, начальник юридичного вiддiлу</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22.04.2025</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 рiк</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r w:rsidR="00000000">
        <w:tblPrEx>
          <w:tblCellMar>
            <w:top w:w="0" w:type="dxa"/>
            <w:bottom w:w="0" w:type="dxa"/>
          </w:tblCellMar>
        </w:tblPrEx>
        <w:trPr>
          <w:trHeight w:val="2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Член комiсiї з припинення</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Iванчук Григорiй Володимирович</w:t>
            </w:r>
          </w:p>
        </w:tc>
        <w:tc>
          <w:tcPr>
            <w:tcW w:w="1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8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1969</w:t>
            </w:r>
          </w:p>
        </w:tc>
        <w:tc>
          <w:tcPr>
            <w:tcW w:w="1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Повна вища</w:t>
            </w:r>
          </w:p>
        </w:tc>
        <w:tc>
          <w:tcPr>
            <w:tcW w:w="9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w:t>
            </w:r>
          </w:p>
        </w:tc>
        <w:tc>
          <w:tcPr>
            <w:tcW w:w="3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заступник директора з виробництва, заступник генерального директора;</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Товаристиво з обмеженою вiдповiдальнiстю "ЄВРОАВТОТЕК", 32784482,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Товариство з обмеженою вiдповiдальнiстю "ЄВРОМОТОР", 32784456, директор;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 xml:space="preserve">Органiзацiї роботодавцiв "ЗАКАРПАТСЬКА ОБЛАСНА ОРГАНIЗАЦIЯ У СФЕРI </w:t>
            </w:r>
            <w:r>
              <w:rPr>
                <w:rFonts w:ascii="Times New Roman CYR" w:hAnsi="Times New Roman CYR" w:cs="Times New Roman CYR"/>
                <w:sz w:val="20"/>
                <w:szCs w:val="20"/>
              </w:rPr>
              <w:lastRenderedPageBreak/>
              <w:t>АВТОМОБIЛЕБУДУВАННЯ", 38414939, голова (голова правлiння за посадою)</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lastRenderedPageBreak/>
              <w:t>25.04.2025</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до закiнчення процедури перет</w:t>
            </w:r>
            <w:r>
              <w:rPr>
                <w:rFonts w:ascii="Times New Roman CYR" w:hAnsi="Times New Roman CYR" w:cs="Times New Roman CYR"/>
                <w:sz w:val="20"/>
                <w:szCs w:val="20"/>
              </w:rPr>
              <w:t>ворення</w:t>
            </w:r>
          </w:p>
        </w:tc>
        <w:tc>
          <w:tcPr>
            <w:tcW w:w="14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щодо корпоративного секретаря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350"/>
        <w:gridCol w:w="2250"/>
        <w:gridCol w:w="1300"/>
        <w:gridCol w:w="1300"/>
        <w:gridCol w:w="1200"/>
        <w:gridCol w:w="4700"/>
        <w:gridCol w:w="1400"/>
        <w:gridCol w:w="1900"/>
      </w:tblGrid>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 призначення на посаду</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Ім'я</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РНОКПП</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УНЗР</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Стаж роботи (років)</w:t>
            </w:r>
          </w:p>
        </w:tc>
        <w:tc>
          <w:tcPr>
            <w:tcW w:w="47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Повне найменування, ідентифікаційний код юридичної особи та посада, яку займав</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Непогашена судимість за корисливі та посадові злочини</w:t>
            </w:r>
          </w:p>
        </w:tc>
        <w:tc>
          <w:tcPr>
            <w:tcW w:w="19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Контактні дані (телефон та адреса електронної пошти корпоративного секретаря)</w:t>
            </w:r>
          </w:p>
        </w:tc>
      </w:tr>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47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19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r>
      <w:tr w:rsidR="00000000">
        <w:tblPrEx>
          <w:tblCellMar>
            <w:top w:w="0" w:type="dxa"/>
            <w:bottom w:w="0" w:type="dxa"/>
          </w:tblCellMar>
        </w:tblPrEx>
        <w:trPr>
          <w:trHeight w:val="200"/>
        </w:trPr>
        <w:tc>
          <w:tcPr>
            <w:tcW w:w="13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18.04.2025</w:t>
            </w:r>
          </w:p>
        </w:tc>
        <w:tc>
          <w:tcPr>
            <w:tcW w:w="22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Олег Сергiйович Бiлькiн</w:t>
            </w: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24</w:t>
            </w:r>
          </w:p>
        </w:tc>
        <w:tc>
          <w:tcPr>
            <w:tcW w:w="47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Приватне акцiонерне товариство "Єврокар",</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30913130,</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начальник юридичного вiддiлу, Товариство з обмеженою вiдповiдальнiстю "СТС", 32784440, директор;Товариство з обмеженою вiдповiдальнiстю "СОЛОМОНОВО ДЕВЕЛОПМЕНТ ПАРК", 45230861, начальник юридичного вiддiлу</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Ні</w:t>
            </w:r>
          </w:p>
        </w:tc>
        <w:tc>
          <w:tcPr>
            <w:tcW w:w="19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+380503571443,</w:t>
            </w: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oleg.bilkin@eurocar.ua</w:t>
            </w:r>
          </w:p>
        </w:tc>
      </w:tr>
    </w:tbl>
    <w:p w:rsidR="00000000" w:rsidRDefault="00714EE6">
      <w:pPr>
        <w:widowControl w:val="0"/>
        <w:autoSpaceDE w:val="0"/>
        <w:autoSpaceDN w:val="0"/>
        <w:adjustRightInd w:val="0"/>
        <w:spacing w:after="0" w:line="240" w:lineRule="auto"/>
        <w:rPr>
          <w:rFonts w:ascii="Times New Roman CYR" w:hAnsi="Times New Roman CYR" w:cs="Times New Roman CYR"/>
          <w:sz w:val="20"/>
          <w:szCs w:val="20"/>
        </w:rPr>
      </w:pPr>
    </w:p>
    <w:p w:rsidR="00000000" w:rsidRDefault="00714EE6">
      <w:pPr>
        <w:widowControl w:val="0"/>
        <w:autoSpaceDE w:val="0"/>
        <w:autoSpaceDN w:val="0"/>
        <w:adjustRightInd w:val="0"/>
        <w:spacing w:after="0" w:line="240" w:lineRule="auto"/>
        <w:rPr>
          <w:rFonts w:ascii="Times New Roman CYR" w:hAnsi="Times New Roman CYR" w:cs="Times New Roman CYR"/>
          <w:sz w:val="20"/>
          <w:szCs w:val="20"/>
        </w:rPr>
        <w:sectPr w:rsidR="00000000">
          <w:pgSz w:w="16837" w:h="11905" w:orient="landscape"/>
          <w:pgMar w:top="570" w:right="720" w:bottom="570" w:left="720" w:header="708" w:footer="708" w:gutter="0"/>
          <w:cols w:space="720"/>
          <w:noEndnote/>
        </w:sectPr>
      </w:pPr>
    </w:p>
    <w:p w:rsidR="00000000" w:rsidRDefault="00714EE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Організаційна структура</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https://www.skoda-auto.ua/company/organizational-structure-of-emitent </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Структура власності</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https://www.skoda-auto.ua/company/ownership-structure-of-emitent </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4. Опис господарської та фінансової діяльності</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належнiсть особи до будь-яких об'єднань пiдприємств, повне найменування та мiсцезнаходження об'єднання, опис дiяльностi об'єднання, строк участi особи у вiдповiдному об'єднаннi, роль особи в об'єднаннi, посилання на вебсайт об'єднання;</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на</w:t>
      </w:r>
      <w:r>
        <w:rPr>
          <w:rFonts w:ascii="Times New Roman CYR" w:hAnsi="Times New Roman CYR" w:cs="Times New Roman CYR"/>
          <w:sz w:val="24"/>
          <w:szCs w:val="24"/>
        </w:rPr>
        <w:t xml:space="preserve">лежить до будь-яких об'єднань пiдприємств.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2) спiльна дiяльнiсть, яку особа проводить з iншими органiзацiями, пiдприємствами, установами, при цьому зазначаються сума вкладiв, мета вкладiв (отримання прибутку, iншi цiлi) та отриманий фiнансовий результат </w:t>
      </w:r>
      <w:r>
        <w:rPr>
          <w:rFonts w:ascii="Times New Roman CYR" w:hAnsi="Times New Roman CYR" w:cs="Times New Roman CYR"/>
          <w:sz w:val="24"/>
          <w:szCs w:val="24"/>
        </w:rPr>
        <w:t>за звiтний рiк з кожного виду спiльної дiяльностi;</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проводить спiльної дiяльностi з iншими органiзацiями, пiдприємствами, установами.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опис обраної облiкової полiтики (метод нарахування амортизацiї, метод оцiнки вартостi запасiв, метод обл</w:t>
      </w:r>
      <w:r>
        <w:rPr>
          <w:rFonts w:ascii="Times New Roman CYR" w:hAnsi="Times New Roman CYR" w:cs="Times New Roman CYR"/>
          <w:sz w:val="24"/>
          <w:szCs w:val="24"/>
        </w:rPr>
        <w:t>iку та оцiнки вартостi фiнансових iнвестицiй тощо);</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Амортизацiя об'єктiв основних засобiв нараховується по прямолiнiйному методу. Визнання, оцiнка i облiк основних засобiв здiйснюється вiдповiдно до МСБО 16 "Основнi засоби". Визнання, оцiнка i облiк немат</w:t>
      </w:r>
      <w:r>
        <w:rPr>
          <w:rFonts w:ascii="Times New Roman CYR" w:hAnsi="Times New Roman CYR" w:cs="Times New Roman CYR"/>
          <w:sz w:val="24"/>
          <w:szCs w:val="24"/>
        </w:rPr>
        <w:t>ерiальних активiв здiйснюється вiдповiдно до МСБО 38 "Нематерiальнi активи". Одиницею облiку визнається окремий об'єкт нематерiальних активiв. Товарно-матерiальнi цiнностi визнаються, оцiнюються i враховуються вiдповiдно до МСБО 2 "Запаси". Одиницею запасi</w:t>
      </w:r>
      <w:r>
        <w:rPr>
          <w:rFonts w:ascii="Times New Roman CYR" w:hAnsi="Times New Roman CYR" w:cs="Times New Roman CYR"/>
          <w:sz w:val="24"/>
          <w:szCs w:val="24"/>
        </w:rPr>
        <w:t>в визнається кожне найменування цiнностей. Придбанi запаси зараховуються на баланс по собiвартостi вiдповiдно до МСБО 2 "Запаси", ТЗВ включаються в собiвартiсть запасiв. Запаси, якi не принесуть економiчних вигод в майбутньому, визнаються нелiквiдними i сп</w:t>
      </w:r>
      <w:r>
        <w:rPr>
          <w:rFonts w:ascii="Times New Roman CYR" w:hAnsi="Times New Roman CYR" w:cs="Times New Roman CYR"/>
          <w:sz w:val="24"/>
          <w:szCs w:val="24"/>
        </w:rPr>
        <w:t>исуються в бухгалтерському облiку. Фiнансовi iнвестицiї первiсно оцiнюються та вiдображаються у бухгалтерському облiку за собiвартiстю. Собiвартiсть фiнансової iнвестицiї складається з цiни її придбання, комiсiйних винагород, мита, податкiв, зборiв, обов'я</w:t>
      </w:r>
      <w:r>
        <w:rPr>
          <w:rFonts w:ascii="Times New Roman CYR" w:hAnsi="Times New Roman CYR" w:cs="Times New Roman CYR"/>
          <w:sz w:val="24"/>
          <w:szCs w:val="24"/>
        </w:rPr>
        <w:t>зкових платежiв та iнших витрат, безпосередньо пов'язаних з придбанням фiнансової iнвестицiї. Фiнансовi iнвестицiї на дату балансу вiдображаються за справедливою вартiстю.</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 опис обраної полiтики щодо фiнансування дiяльностi особи, достатнiсть робочого к</w:t>
      </w:r>
      <w:r>
        <w:rPr>
          <w:rFonts w:ascii="Times New Roman CYR" w:hAnsi="Times New Roman CYR" w:cs="Times New Roman CYR"/>
          <w:sz w:val="24"/>
          <w:szCs w:val="24"/>
        </w:rPr>
        <w:t>апiталу для поточних потреб, можливi шляхи покращення лiквiдностi;</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Обрана полiтика фiнансування передбачає використання власного капiталу та залучення коштiв фiнансових установ (банкiв). Робочого капiталу достатньо для поточних потреб. Можливим шляхом пок</w:t>
      </w:r>
      <w:r>
        <w:rPr>
          <w:rFonts w:ascii="Times New Roman CYR" w:hAnsi="Times New Roman CYR" w:cs="Times New Roman CYR"/>
          <w:sz w:val="24"/>
          <w:szCs w:val="24"/>
        </w:rPr>
        <w:t>ращення лiквiдностi є зниження кредиторської заборгованостi.</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5) опис полiтики щодо дослiджень та розробок, сума витрат на дослiдження та розробку за звiтний рiк;</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Дослiдження та розробки Товариством не здiйснювались.</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6) iнформацiя щодо продуктiв (товарiв або послуг) особи: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продуктiв (товарiв та/або послуг), якi виробляє/надає особа;</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видом продукцiї пiдприємства є автомобiлi марки "Skoda", що призначенi для перевезення пасажирiв i невеликого вантажу.</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w:t>
      </w:r>
      <w:r>
        <w:rPr>
          <w:rFonts w:ascii="Times New Roman CYR" w:hAnsi="Times New Roman CYR" w:cs="Times New Roman CYR"/>
          <w:sz w:val="24"/>
          <w:szCs w:val="24"/>
        </w:rPr>
        <w:t>сяги виробництва (у натуральному та грошовому виразi);</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Обсяги виробництва у натуральному виразi: 289 шт. Обсяги виробництва у грошовому виразi:  254387  тис.грн.</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продуктiв;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Середньореалiзацiйнi  цiни: 966,2 тис. грн.</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загальна </w:t>
      </w:r>
      <w:r>
        <w:rPr>
          <w:rFonts w:ascii="Times New Roman CYR" w:hAnsi="Times New Roman CYR" w:cs="Times New Roman CYR"/>
          <w:sz w:val="24"/>
          <w:szCs w:val="24"/>
        </w:rPr>
        <w:t>сума виручки;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Сума виручки у звiтному перiодi вiд реалiзацiї виготовлених авто 257980 тис. грн.</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загальна сума експорту, частка експорту в загальному обсязi продажiв;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Експорт вiдсутнiй;</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залежнiсть вiд сезонних змiн;</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Вiдсутня;</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клiєнти (бiльше 5 % у загальнiй сумi виручки);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 клiєнтом є ТОВ "Єврокар".</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ринки збуту та країни, в яких особою здiйснюється дiяльнiсть;</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Ринком збуту є внутрiшнiй ринок України.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канали збуту;</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Продукцiя пiдприємства реалiзується через ТО</w:t>
      </w:r>
      <w:r>
        <w:rPr>
          <w:rFonts w:ascii="Times New Roman CYR" w:hAnsi="Times New Roman CYR" w:cs="Times New Roman CYR"/>
          <w:sz w:val="24"/>
          <w:szCs w:val="24"/>
        </w:rPr>
        <w:t>В "Єврокар", який здiйснює роздрiбну торгiвлю новими автомобiлями марки Skoda через мережу дилерських пiдприємств на територiї України та органiзовує їх сервiсне обслуговуваня.</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постачальники та види товарiв та/або послуг, якi вони постачають/надаю</w:t>
      </w:r>
      <w:r>
        <w:rPr>
          <w:rFonts w:ascii="Times New Roman CYR" w:hAnsi="Times New Roman CYR" w:cs="Times New Roman CYR"/>
          <w:sz w:val="24"/>
          <w:szCs w:val="24"/>
        </w:rPr>
        <w:t>ть особi, країни з яких здiйснюється постачання/надання товарiв/послуг;</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комплектуючi, матерiали, сировина для виробництва автомобiлiв закуповуються у SkodaAuto a.s.</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особливостi стану розвитку галузi, в якiй здiйснює дiяльнiсть особа;</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Автомобiльн</w:t>
      </w:r>
      <w:r>
        <w:rPr>
          <w:rFonts w:ascii="Times New Roman CYR" w:hAnsi="Times New Roman CYR" w:cs="Times New Roman CYR"/>
          <w:sz w:val="24"/>
          <w:szCs w:val="24"/>
        </w:rPr>
        <w:t xml:space="preserve">а галузь є надзвичайно складним технологiчно виробничим процесом. Свiтова еко-номiчна криза призвела до рiзкого падiння автомобiльного ринку України, яке матерiалiзувалося в значному </w:t>
      </w:r>
      <w:r>
        <w:rPr>
          <w:rFonts w:ascii="Times New Roman CYR" w:hAnsi="Times New Roman CYR" w:cs="Times New Roman CYR"/>
          <w:sz w:val="24"/>
          <w:szCs w:val="24"/>
        </w:rPr>
        <w:lastRenderedPageBreak/>
        <w:t>зменшеннi показникiв виробництва, через що українськi виробники були виму</w:t>
      </w:r>
      <w:r>
        <w:rPr>
          <w:rFonts w:ascii="Times New Roman CYR" w:hAnsi="Times New Roman CYR" w:cs="Times New Roman CYR"/>
          <w:sz w:val="24"/>
          <w:szCs w:val="24"/>
        </w:rPr>
        <w:t>шенi зна-чно скоротити чисельнiсть працiвникiв.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опис технологiй, якi використовує особа у своїй дiяльностi;</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Технологiчне обладнання на пiдприємствi дозволяє забезпечити повний технологiчний процес CKD виробництва автомобiлiв (зварювання кузовiв, фарбуван</w:t>
      </w:r>
      <w:r>
        <w:rPr>
          <w:rFonts w:ascii="Times New Roman CYR" w:hAnsi="Times New Roman CYR" w:cs="Times New Roman CYR"/>
          <w:sz w:val="24"/>
          <w:szCs w:val="24"/>
        </w:rPr>
        <w:t>ня, збирання), вiдповiдає українським та європейським нормам, забезпечує високу ступiнь екологiчної чистоти процесiв та економiю енергоресурсiв.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Наразi Товариство використовує технологiю крупновузлового виробництва автомобiлiв SKD, на наявному технологiчн</w:t>
      </w:r>
      <w:r>
        <w:rPr>
          <w:rFonts w:ascii="Times New Roman CYR" w:hAnsi="Times New Roman CYR" w:cs="Times New Roman CYR"/>
          <w:sz w:val="24"/>
          <w:szCs w:val="24"/>
        </w:rPr>
        <w:t>ому обладнаннi.</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мiсце особи на ринку, на якому вона здiйснює дiяльнiсть;</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Становище товариства на ринку стабiльне.</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рiвень конкуренцiя в галузi, основнi конкуренти особи;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Автомобiльна галузь вiдрiз</w:t>
      </w:r>
      <w:r>
        <w:rPr>
          <w:rFonts w:ascii="Times New Roman CYR" w:hAnsi="Times New Roman CYR" w:cs="Times New Roman CYR"/>
          <w:sz w:val="24"/>
          <w:szCs w:val="24"/>
        </w:rPr>
        <w:t>няється високою конкуренцiєю i представлена практично всiма свiтовими марками. У класi В конкурентами моделi Skoda Fabia є автомобiлi марок Chevrolet Aveo, Renault Logan, Hyundai Accent, Hyundai Gets. У класi C конкурентами моделi Skoda Octavia є ав-томобi</w:t>
      </w:r>
      <w:r>
        <w:rPr>
          <w:rFonts w:ascii="Times New Roman CYR" w:hAnsi="Times New Roman CYR" w:cs="Times New Roman CYR"/>
          <w:sz w:val="24"/>
          <w:szCs w:val="24"/>
        </w:rPr>
        <w:t>лi марок Toyota Corolla, Hyundai Elantra. У класi E конкурентами моделi Skoda Superb є автомобiлi марок Toyota Camry, Hyundai Sonata, VW Passat. У класi SUV конкурентами моделi Skoda Karoq є автомобiлi марок Nissan Qashqai, Toyota RAV4, VW Tiguan, Skoda Ko</w:t>
      </w:r>
      <w:r>
        <w:rPr>
          <w:rFonts w:ascii="Times New Roman CYR" w:hAnsi="Times New Roman CYR" w:cs="Times New Roman CYR"/>
          <w:sz w:val="24"/>
          <w:szCs w:val="24"/>
        </w:rPr>
        <w:t>diaq - Nissan X-Trail.</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перспективнi плани розвитку особи.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Перспективнiсть виробництва автомобiлiв марки "Skoda", що призначенi для перевезення паса-жирiв i невеликого вантажу оцiнюється як висока, зокрема для вiтчизняного ринку споживачiв.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7) опис ризи</w:t>
      </w:r>
      <w:r>
        <w:rPr>
          <w:rFonts w:ascii="Times New Roman CYR" w:hAnsi="Times New Roman CYR" w:cs="Times New Roman CYR"/>
          <w:sz w:val="24"/>
          <w:szCs w:val="24"/>
        </w:rPr>
        <w:t>кiв, як притаманнi дiяльностi особи, пiдходи до управлiння ризиками, заходи особи щодо зменшення впливу ризикiв;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Основними ризиками в дiяльностi Товариства є полiтична та економiчна нестабiльнiсть; змiни законодавства та оподаткування; iнфляцiйнi процеси </w:t>
      </w:r>
      <w:r>
        <w:rPr>
          <w:rFonts w:ascii="Times New Roman CYR" w:hAnsi="Times New Roman CYR" w:cs="Times New Roman CYR"/>
          <w:sz w:val="24"/>
          <w:szCs w:val="24"/>
        </w:rPr>
        <w:t xml:space="preserve">в економiцi України, державна митна полiтика. Ризики експлуатацiйного перiоду (збiльшення витрат на функцiонування об'єкту, неплатоспроможнiсть партнерiв, криза збуту продукцiї та iн.).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 здiйсненнi внутрiшнього контролю використовуються рiзнi методи, </w:t>
      </w:r>
      <w:r>
        <w:rPr>
          <w:rFonts w:ascii="Times New Roman CYR" w:hAnsi="Times New Roman CYR" w:cs="Times New Roman CYR"/>
          <w:sz w:val="24"/>
          <w:szCs w:val="24"/>
        </w:rPr>
        <w:t xml:space="preserve">вони включають в себе такi елементи, як: Управлiння фiнансовими  ризиками: дiяльнiсть товариства пiддається впливу безлiчi фiнансових ризикiв, включаючи ефект вiд змiни ринкових цiн, коливань валютних курсiв.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Керiвництво товариства  веде полiтику, спрямо</w:t>
      </w:r>
      <w:r>
        <w:rPr>
          <w:rFonts w:ascii="Times New Roman CYR" w:hAnsi="Times New Roman CYR" w:cs="Times New Roman CYR"/>
          <w:sz w:val="24"/>
          <w:szCs w:val="24"/>
        </w:rPr>
        <w:t>вану на попередження й зменшення впливу таких ризикiв. Управлiння ризиками здiйснюється адмiнiстрацiєю товариства.</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Управлiння кредитними ризиками: фiнансовi iнструменти, якi потенцiйно пiддаються впливу кредитного ризику, в основному представленi торговою</w:t>
      </w:r>
      <w:r>
        <w:rPr>
          <w:rFonts w:ascii="Times New Roman CYR" w:hAnsi="Times New Roman CYR" w:cs="Times New Roman CYR"/>
          <w:sz w:val="24"/>
          <w:szCs w:val="24"/>
        </w:rPr>
        <w:t xml:space="preserve"> дебiторською заборгованiстю та грошовими коштами та еквiвалентами. Управлiння ризиком лiквiдностi: для управлiння ризиком лiквiдностi </w:t>
      </w:r>
      <w:r>
        <w:rPr>
          <w:rFonts w:ascii="Times New Roman CYR" w:hAnsi="Times New Roman CYR" w:cs="Times New Roman CYR"/>
          <w:sz w:val="24"/>
          <w:szCs w:val="24"/>
        </w:rPr>
        <w:lastRenderedPageBreak/>
        <w:t>керiвництво товариства проводить полiтику управлiння активами й зобов'язаннями, спрямовану на недопущення розривiв у стро</w:t>
      </w:r>
      <w:r>
        <w:rPr>
          <w:rFonts w:ascii="Times New Roman CYR" w:hAnsi="Times New Roman CYR" w:cs="Times New Roman CYR"/>
          <w:sz w:val="24"/>
          <w:szCs w:val="24"/>
        </w:rPr>
        <w:t xml:space="preserve">ках платежiв, що виражається в здатностi мобiлiзацiї лiквiдних активiв для погашення поточних зобов'язань.Управлiння ризиками має на метi забезпечення належного функцiонування внутрiшнiх процедур та полiтики, що спрямованi на мiнiмiзацiю цих ризикiв.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8) </w:t>
      </w:r>
      <w:r>
        <w:rPr>
          <w:rFonts w:ascii="Times New Roman CYR" w:hAnsi="Times New Roman CYR" w:cs="Times New Roman CYR"/>
          <w:sz w:val="24"/>
          <w:szCs w:val="24"/>
        </w:rPr>
        <w:t>стратегiя подальшої дiяльностi особи щонайменше на рiк (щодо розширення виробництва, реконструкцiї, полiпшення фiнансового стану, опис iстотних факторiв, якi можуть вплинути на дiяльнiсть особи в майбутньому);</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планує продовжити випуск автомобiл</w:t>
      </w:r>
      <w:r>
        <w:rPr>
          <w:rFonts w:ascii="Times New Roman CYR" w:hAnsi="Times New Roman CYR" w:cs="Times New Roman CYR"/>
          <w:sz w:val="24"/>
          <w:szCs w:val="24"/>
        </w:rPr>
        <w:t>iв марки Skoda моделi Karoq та планує iмпорт нових моделей.</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9) основнi придбання або вiдчуження активiв за останнi п'ять рокiв, а також якщо плануються будь-якi значнi iнвестицiї або придбання, то також необхiдно надати їх опис, включаючи суттєвi умови пр</w:t>
      </w:r>
      <w:r>
        <w:rPr>
          <w:rFonts w:ascii="Times New Roman CYR" w:hAnsi="Times New Roman CYR" w:cs="Times New Roman CYR"/>
          <w:sz w:val="24"/>
          <w:szCs w:val="24"/>
        </w:rPr>
        <w:t>идбання або iнвестицiї, їх вартiсть i спосiб фiнансування;</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перiод 2020-2 кв. 2025рр. Товариством було придбано активiв на загальну суму 549872,9 тис.грн. За звiтний</w:t>
      </w:r>
      <w:r>
        <w:rPr>
          <w:rFonts w:ascii="Times New Roman CYR" w:hAnsi="Times New Roman CYR" w:cs="Times New Roman CYR"/>
          <w:sz w:val="24"/>
          <w:szCs w:val="24"/>
        </w:rPr>
        <w:t xml:space="preserve"> перiод (2 кв. 2025 року) було придбано активiв на 8194.5 тис. грн. Пiдприємство не планує будь-якi значнi iнвестицiї або придбання, пов'язанi з його господарською дiяльнiстю.</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10) основнi засоби особи, включаючи об'єкти оренди та будь-якi значнi правочини</w:t>
      </w:r>
      <w:r>
        <w:rPr>
          <w:rFonts w:ascii="Times New Roman CYR" w:hAnsi="Times New Roman CYR" w:cs="Times New Roman CYR"/>
          <w:sz w:val="24"/>
          <w:szCs w:val="24"/>
        </w:rPr>
        <w:t xml:space="preserve"> особи щодо них; виробничi потужностi та ступiнь використання обладнання, спосiб утримання активiв, мiсцезнаходження основних засобiв. Крiм того, необхiдно описати екологiчнi питання, що можуть позначитися на використаннi активiв пiдприємства, плани капiта</w:t>
      </w:r>
      <w:r>
        <w:rPr>
          <w:rFonts w:ascii="Times New Roman CYR" w:hAnsi="Times New Roman CYR" w:cs="Times New Roman CYR"/>
          <w:sz w:val="24"/>
          <w:szCs w:val="24"/>
        </w:rPr>
        <w:t>льного будiвництва, розширення або удосконалення основних засобiв, характер та причини таких планiв, суми видаткiв, у тому числi вже зроблених, методи фiнансування, прогнознi дати початку та закiнчення дiяльностi та очiкуване зростання виробничих потужност</w:t>
      </w:r>
      <w:r>
        <w:rPr>
          <w:rFonts w:ascii="Times New Roman CYR" w:hAnsi="Times New Roman CYR" w:cs="Times New Roman CYR"/>
          <w:sz w:val="24"/>
          <w:szCs w:val="24"/>
        </w:rPr>
        <w:t xml:space="preserve">ей пiсля її завершення;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засоби емiтента знаходяться за адресою Закарпатська область, Ужгородський район, с. Соломоново, вул. Перемоги, 46. До основних засобiв емiтента вiдноситься: - земельна дiлянки; - виробничий цех; - промислова iнфраструктура</w:t>
      </w:r>
      <w:r>
        <w:rPr>
          <w:rFonts w:ascii="Times New Roman CYR" w:hAnsi="Times New Roman CYR" w:cs="Times New Roman CYR"/>
          <w:sz w:val="24"/>
          <w:szCs w:val="24"/>
        </w:rPr>
        <w:t xml:space="preserve"> (логiстична та iнженерна); - машини та обладнання; - транспортнi засоби; - iнша необоротнi та нематерiальнi активи. Також ПрАТ "Єврокар" орендує у ТОВ "РIК" виробничий комплекс, що складається з: - монтажний цех та АБК; - промислова iнфраструктура (складс</w:t>
      </w:r>
      <w:r>
        <w:rPr>
          <w:rFonts w:ascii="Times New Roman CYR" w:hAnsi="Times New Roman CYR" w:cs="Times New Roman CYR"/>
          <w:sz w:val="24"/>
          <w:szCs w:val="24"/>
        </w:rPr>
        <w:t>ька, логiстична та iнженерна); - обладнання; у ТОВ "Євромотор" - транс-форматорну пiдстанцiю. ПрАТ "Єврокар" суворо дотримується екологiчних стандартiв. Техно-логiчне обладнання вiдповiдає українським та європейським нормам, забезпечує високу ступiнь еколо</w:t>
      </w:r>
      <w:r>
        <w:rPr>
          <w:rFonts w:ascii="Times New Roman CYR" w:hAnsi="Times New Roman CYR" w:cs="Times New Roman CYR"/>
          <w:sz w:val="24"/>
          <w:szCs w:val="24"/>
        </w:rPr>
        <w:t>гiчної чистоти процесiв та економiю енергоресурсiв. Отриманi лiмiти на утворення та зберiгання вiдходiв виробництва, отримано дозвiл на викиди забруднюючих речовин в атмосферне повiтря, отримано спецiальний дозвiл на водокористування. Порушень законодавств</w:t>
      </w:r>
      <w:r>
        <w:rPr>
          <w:rFonts w:ascii="Times New Roman CYR" w:hAnsi="Times New Roman CYR" w:cs="Times New Roman CYR"/>
          <w:sz w:val="24"/>
          <w:szCs w:val="24"/>
        </w:rPr>
        <w:t>а у сферi охорони навколишнього природного середовища перевiрками не виявлено. Розробленi та впроваджуються заходи по охоронi навколишнього природного середовища. Максимальнi виробничi потужностi заводу з врахуванням модернiзацiї становлять 50000 тис. авто</w:t>
      </w:r>
      <w:r>
        <w:rPr>
          <w:rFonts w:ascii="Times New Roman CYR" w:hAnsi="Times New Roman CYR" w:cs="Times New Roman CYR"/>
          <w:sz w:val="24"/>
          <w:szCs w:val="24"/>
        </w:rPr>
        <w:t>/рiк. На даний момент виробничi потужностi повнiстю не завантаженi (в т.ч. через кризу), та на кiнець звiтного перiоду використання виробничих потужностей становило 2.31 %. Капiтальне будiвництво не планується. Удосконалення виробничих засобiв не плануютьс</w:t>
      </w:r>
      <w:r>
        <w:rPr>
          <w:rFonts w:ascii="Times New Roman CYR" w:hAnsi="Times New Roman CYR" w:cs="Times New Roman CYR"/>
          <w:sz w:val="24"/>
          <w:szCs w:val="24"/>
        </w:rPr>
        <w:t>я у зв'язку з вiдсутнiстю повної завантаженостi виробничих потужностей.</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11) проблеми, якi впливають на дiяльнiсть особи, в тому числi ступiнь залежностi вiд законодавчих або економiчних обмежень;</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Ризики, пов'язанi зi змiною полiтичної та економiчної ситу</w:t>
      </w:r>
      <w:r>
        <w:rPr>
          <w:rFonts w:ascii="Times New Roman CYR" w:hAnsi="Times New Roman CYR" w:cs="Times New Roman CYR"/>
          <w:sz w:val="24"/>
          <w:szCs w:val="24"/>
        </w:rPr>
        <w:t>ацiї в Українi, ризики експлуатацiйного перiоду (збiльшення цiн на енергоносiї, неплатоспроможнiсть партнерiв, криза збуту продукцiї та iн.). Ступiнь залежностi вiд законодавчих або економiчних обмежень - суттєва.</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12) вартiсть укладених, але ще не виконан</w:t>
      </w:r>
      <w:r>
        <w:rPr>
          <w:rFonts w:ascii="Times New Roman CYR" w:hAnsi="Times New Roman CYR" w:cs="Times New Roman CYR"/>
          <w:sz w:val="24"/>
          <w:szCs w:val="24"/>
        </w:rPr>
        <w:t>их договорiв (контрактiв) на кiнець звiтного перiоду (загальний пiдсумок) та очiкуванi прибутки вiд виконання цих договорiв (контрактiв);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Вартiсть укладених, але ще не виконаних договорiв (контрактiв) -  662909,0тис. грн.</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13) середньооблiкова чисельнiсть</w:t>
      </w:r>
      <w:r>
        <w:rPr>
          <w:rFonts w:ascii="Times New Roman CYR" w:hAnsi="Times New Roman CYR" w:cs="Times New Roman CYR"/>
          <w:sz w:val="24"/>
          <w:szCs w:val="24"/>
        </w:rPr>
        <w:t xml:space="preserve"> штатних працiвникiв особи, середня чисельнiсть позаштатних працiвникiв та осiб, якi працюють за сумiсництвом, чисельнiсть працiвникiв, якi працюють на умовах неповного робочого часу (дня, тижня), розмiр фонду оплати працi. Крiм того, зазначається про факт</w:t>
      </w:r>
      <w:r>
        <w:rPr>
          <w:rFonts w:ascii="Times New Roman CYR" w:hAnsi="Times New Roman CYR" w:cs="Times New Roman CYR"/>
          <w:sz w:val="24"/>
          <w:szCs w:val="24"/>
        </w:rPr>
        <w:t>и змiни розмiру фонду оплати працi, його збiльшення або зменшення вiдносно попереднього звiтного перiоду;</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середньооблiкова чисельнiсть штатних працiвникiв - 238;</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середня чисельнiсть позаштатних працiвникiв - 0,</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осiб, якi працюють за сумiсництвом - 35,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чисельнiсть працiвникiв, якi працюють на умовах неповного робочого часу (дня, тижня) - 46,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розмiр фонду оплати працi 26967337,92грн.,</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факти змiни розмiру фонду оплати працi, його збiльшення або зменшення вiдносно попереднього звiтного перiоду: у порiв</w:t>
      </w:r>
      <w:r>
        <w:rPr>
          <w:rFonts w:ascii="Times New Roman CYR" w:hAnsi="Times New Roman CYR" w:cs="Times New Roman CYR"/>
          <w:sz w:val="24"/>
          <w:szCs w:val="24"/>
        </w:rPr>
        <w:t>няннi з попереднiм звiтним перiодом фонд оплати працi збiльшився.</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14) будь-якi пропозицiї щодо реорганiзацiї з боку третiх осiб, що мали мiсце протягом звiтного перiоду, умови та результати цих пропозицiй;</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щодо реорганiзацiї з боку третiх осiб не було.</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щодо реорганiзацiї з боку третiх осiб не було</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Рiчними загальними зборами акцiонерiв, якi були проведенi дистанцiйно 21.04.2025, прийнято рiшення 25.04.2025 (протокол про пiдсумки голосу</w:t>
      </w:r>
      <w:r>
        <w:rPr>
          <w:rFonts w:ascii="Times New Roman CYR" w:hAnsi="Times New Roman CYR" w:cs="Times New Roman CYR"/>
          <w:sz w:val="24"/>
          <w:szCs w:val="24"/>
        </w:rPr>
        <w:t>вання вiд 25.04.2025, протокол рiчних дистанцiйних загальних зборiв вiд 25.04.2025 № 28) припинити Приватне акцiонерне товариство "ЄВРОКАР" шляхом його перетворення у Товариство з обмеженою вiдповiдальнiстю "ЄВРОКАР МЕНЬЮФЕКЧУРИНГ". Причини такого рiшення:</w:t>
      </w:r>
      <w:r>
        <w:rPr>
          <w:rFonts w:ascii="Times New Roman CYR" w:hAnsi="Times New Roman CYR" w:cs="Times New Roman CYR"/>
          <w:sz w:val="24"/>
          <w:szCs w:val="24"/>
        </w:rPr>
        <w:t xml:space="preserve"> у зв'язку з тим, що органiзацiйно-правова форма (акцiонерне товариство), в якiй на цей час перебуває Товариство, вимагає великих витрат на своє утримання, а також передбачає велику кiлькiсть органiзацiйних заходiв, передбачених чинним законодавством.</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15)</w:t>
      </w:r>
      <w:r>
        <w:rPr>
          <w:rFonts w:ascii="Times New Roman CYR" w:hAnsi="Times New Roman CYR" w:cs="Times New Roman CYR"/>
          <w:sz w:val="24"/>
          <w:szCs w:val="24"/>
        </w:rPr>
        <w:t xml:space="preserve"> iнша iнформацiя, яка може бути iстотною для оцiнки стейкхолдерами фiнансового стану та результатiв дiяльностi особи.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 iншою iнформацiєю, яка може бути iстотною для оцiнки фiнансового стану та результатiв дiяльностi Товариства, стейкхолдери можуть ознайо</w:t>
      </w:r>
      <w:r>
        <w:rPr>
          <w:rFonts w:ascii="Times New Roman CYR" w:hAnsi="Times New Roman CYR" w:cs="Times New Roman CYR"/>
          <w:sz w:val="24"/>
          <w:szCs w:val="24"/>
        </w:rPr>
        <w:t xml:space="preserve">митись на сайтi Товариства за посиланням https://www.skoda-auto.ua/company/prat-eurocar-info-for-shareholders.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Дотримання послiдовностi викладення iнформацiї частин є обов'язковою. У разi вiдсутностi iнформацiї, особа зазначає про це в описi господарсько</w:t>
      </w:r>
      <w:r>
        <w:rPr>
          <w:rFonts w:ascii="Times New Roman CYR" w:hAnsi="Times New Roman CYR" w:cs="Times New Roman CYR"/>
          <w:sz w:val="24"/>
          <w:szCs w:val="24"/>
        </w:rPr>
        <w:t>ї та фiнансової дiяльностi. Опис господарської та фiнансової дiяльностi викладається стисло i зрозумiло. Обсяг опису господарської та фiнансової дiяльностi не повинен перевищувати чотирнадцять сторiнок формату А4.</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щодо отриманих особою ліценз</w:t>
      </w:r>
      <w:r>
        <w:rPr>
          <w:rFonts w:ascii="Times New Roman CYR" w:hAnsi="Times New Roman CYR" w:cs="Times New Roman CYR"/>
          <w:b/>
          <w:bCs/>
          <w:sz w:val="24"/>
          <w:szCs w:val="24"/>
        </w:rPr>
        <w:t>ій</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470"/>
        <w:gridCol w:w="2685"/>
        <w:gridCol w:w="1500"/>
        <w:gridCol w:w="1065"/>
        <w:gridCol w:w="3000"/>
        <w:gridCol w:w="1200"/>
      </w:tblGrid>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ліцензії</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видачі</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Орган державної влади, що видав ліцензію</w:t>
            </w:r>
          </w:p>
        </w:tc>
        <w:tc>
          <w:tcPr>
            <w:tcW w:w="12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закінчення строку дії ліцензії (за наявності)</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065"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685"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Медична практика</w:t>
            </w:r>
          </w:p>
        </w:tc>
        <w:tc>
          <w:tcPr>
            <w:tcW w:w="15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АЕ№281980</w:t>
            </w:r>
          </w:p>
        </w:tc>
        <w:tc>
          <w:tcPr>
            <w:tcW w:w="1065"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16.01.2014</w:t>
            </w:r>
          </w:p>
        </w:tc>
        <w:tc>
          <w:tcPr>
            <w:tcW w:w="3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Мiнiстерство охорони здоров'я України</w:t>
            </w:r>
          </w:p>
        </w:tc>
        <w:tc>
          <w:tcPr>
            <w:tcW w:w="12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47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685"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Лiцензiя на право зберiгання пального (виключно для потреб власного споживання чи промисловоъ переробки)</w:t>
            </w:r>
          </w:p>
        </w:tc>
        <w:tc>
          <w:tcPr>
            <w:tcW w:w="15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07140414202400114</w:t>
            </w:r>
          </w:p>
        </w:tc>
        <w:tc>
          <w:tcPr>
            <w:tcW w:w="1065"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10.07.2024</w:t>
            </w:r>
          </w:p>
        </w:tc>
        <w:tc>
          <w:tcPr>
            <w:tcW w:w="3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оловне управлiння ДПС у Закарпатськiй областi</w:t>
            </w:r>
          </w:p>
        </w:tc>
        <w:tc>
          <w:tcPr>
            <w:tcW w:w="12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29.07.2029</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p w:rsidR="00000000" w:rsidRDefault="00714EE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основні засоби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000000">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000000">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138 056</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120 624</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138 056</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120 624</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80 757</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64 777</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80 757</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64 777</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22 251</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21 460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22 251</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21 460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14 634</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13 984</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14 634</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13 984</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20 233</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20 233</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20 233</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20 233</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181</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138 056</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120 624</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138 056</w:t>
            </w:r>
          </w:p>
        </w:tc>
        <w:tc>
          <w:tcPr>
            <w:tcW w:w="1082"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120 624</w:t>
            </w:r>
          </w:p>
        </w:tc>
      </w:tr>
      <w:tr w:rsidR="00000000">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7022" w:type="dxa"/>
            <w:gridSpan w:val="6"/>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Основнi засоби використовуються в господарськiй дiяльностi.</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Термiни використання основних засобiв:</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2 - капiтальнi витрати на полiпшення земель, не пов'язанi з будiвництвом - 180 мiсяцiв.</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lastRenderedPageBreak/>
              <w:t>Група 3 - в т.ч.:</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Будiвлi - 240 мiсяцiв;</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Споруди - 180 мiсяцiв;</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Передавальнi пристрої - 120 мiсяцiв.</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4- в т.ч.:</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Машини та обладнання - 60 мiсяцiв;</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Електронно-обчислювальнi машини, iншi: - 24 мiсяцi.</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5 - транспортнi засоби - 60 мiсяцiв.</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6 - iнструменти, прилади, iнвентар (меблi) - 48 мiсяцiв.</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7 - тварини - 72 мiсяцi.</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8 - багаторiчнi н</w:t>
            </w:r>
            <w:r>
              <w:rPr>
                <w:rFonts w:ascii="Times New Roman CYR" w:hAnsi="Times New Roman CYR" w:cs="Times New Roman CYR"/>
              </w:rPr>
              <w:t>асадження - 120 мiсяцiв.</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9 - iншi основнi засоби - 144 мiсяцi.</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10 - бiблiотечнi фонди.</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11- малоцiннi необоротнi активи.</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12 - тимчасовi (нетитульнi) споруди - 60 мiсяцiв.</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14 - iнвентарна тара - 72 мiсяцi.</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15 - предмети прокату - 72 мiсяцi.</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Група 16 - довгостроковi бiологiчнi активи - 84 мiсяцi.</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Первiсна вартiсть основних засобiв - 1665894  тис. грн.</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зносу - 92.76 %</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їх використання - 100%.</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- 1545270 тис.г</w:t>
            </w:r>
            <w:r>
              <w:rPr>
                <w:rFonts w:ascii="Times New Roman CYR" w:hAnsi="Times New Roman CYR" w:cs="Times New Roman CYR"/>
              </w:rPr>
              <w:t>рн.</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У заставi перебувають основнi засоби (виробниче обладнання)  застав-ною вартiстю - 1 075 тис. грн., нерухоме майне заставною вартiстю - 17 247 тис. грн. </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Суттєвих змiн у вартостi основних засобiв не було.</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p w:rsidR="00000000" w:rsidRDefault="00714EE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зобов'язання та забезпечення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w:t>
            </w:r>
            <w:r>
              <w:rPr>
                <w:rFonts w:ascii="Times New Roman CYR" w:hAnsi="Times New Roman CYR" w:cs="Times New Roman CYR"/>
              </w:rPr>
              <w:t>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деривативами)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1 827</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доходи фiзичних осiб</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991</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Земельний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Вiйськовий збiр</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356</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Акцизний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265</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Екологiчний податок</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нерухоме майно, вiдмiнне вiд земельної дiлянки</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104</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 iноземних юридичних осiб</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2 014 620</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довгостроковими зобов'язаннями</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116 027</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товари, роботи, послуги</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41 189</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зi страхування</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1 141</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розрахунками з оплати працi</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3 575</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заборгованiсть за одержаними авансами</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21 237</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 xml:space="preserve">Поточна </w:t>
            </w:r>
            <w:r>
              <w:rPr>
                <w:rFonts w:ascii="Times New Roman CYR" w:hAnsi="Times New Roman CYR" w:cs="Times New Roman CYR"/>
              </w:rPr>
              <w:t>кредиторська заборгованiсть за розрахунками з учасниками</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6 081</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Поточнi забезпечення</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4 813</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майбутнiх перiодiв</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Iншi поточнi зобов'язання</w:t>
            </w:r>
          </w:p>
        </w:tc>
        <w:tc>
          <w:tcPr>
            <w:tcW w:w="14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48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183 651</w:t>
            </w:r>
          </w:p>
        </w:tc>
        <w:tc>
          <w:tcPr>
            <w:tcW w:w="194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2 016 447</w:t>
            </w:r>
          </w:p>
        </w:tc>
        <w:tc>
          <w:tcPr>
            <w:tcW w:w="194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p w:rsidR="00000000" w:rsidRDefault="00714EE6">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обсяги виробництва та реалізації основних видів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2500"/>
        <w:gridCol w:w="2000"/>
        <w:gridCol w:w="2000"/>
        <w:gridCol w:w="2200"/>
        <w:gridCol w:w="2000"/>
        <w:gridCol w:w="2000"/>
        <w:gridCol w:w="22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Основний вид продукції</w:t>
            </w:r>
          </w:p>
        </w:tc>
        <w:tc>
          <w:tcPr>
            <w:tcW w:w="6200" w:type="dxa"/>
            <w:gridSpan w:val="3"/>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виробництва</w:t>
            </w:r>
          </w:p>
        </w:tc>
        <w:tc>
          <w:tcPr>
            <w:tcW w:w="6200" w:type="dxa"/>
            <w:gridSpan w:val="3"/>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Обсяг реалізованої продукції</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грошовій формі, тис.грн</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виробленої продукції</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натуральній формі (фізична одиниця виміру)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 у грошовій формі, тис.грн</w:t>
            </w:r>
          </w:p>
        </w:tc>
        <w:tc>
          <w:tcPr>
            <w:tcW w:w="22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 відсотках до всієї реалізованої продукції</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2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300"/>
        </w:trPr>
        <w:tc>
          <w:tcPr>
            <w:tcW w:w="5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Автомобiлi Skoda</w:t>
            </w:r>
          </w:p>
        </w:tc>
        <w:tc>
          <w:tcPr>
            <w:tcW w:w="2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289 штук</w:t>
            </w:r>
          </w:p>
        </w:tc>
        <w:tc>
          <w:tcPr>
            <w:tcW w:w="2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254387</w:t>
            </w:r>
          </w:p>
        </w:tc>
        <w:tc>
          <w:tcPr>
            <w:tcW w:w="22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c>
          <w:tcPr>
            <w:tcW w:w="2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267 штук</w:t>
            </w:r>
          </w:p>
        </w:tc>
        <w:tc>
          <w:tcPr>
            <w:tcW w:w="2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257980</w:t>
            </w:r>
          </w:p>
        </w:tc>
        <w:tc>
          <w:tcPr>
            <w:tcW w:w="22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p w:rsidR="00000000" w:rsidRDefault="00714EE6">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собівартість реалізованої продукції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620"/>
        <w:gridCol w:w="3300"/>
        <w:gridCol w:w="5900"/>
      </w:tblGrid>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Склад витрат</w:t>
            </w:r>
          </w:p>
        </w:tc>
        <w:tc>
          <w:tcPr>
            <w:tcW w:w="59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від загальної собівартості реалізованої продукції (у відсотках)</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59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62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3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комплектуючi</w:t>
            </w:r>
          </w:p>
        </w:tc>
        <w:tc>
          <w:tcPr>
            <w:tcW w:w="59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p w:rsidR="00000000" w:rsidRDefault="00714EE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Інформація про осіб, послугами яких користується особа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депозитарiй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04107, Україна, м. Київ, вул. Якубенкiвська, 7-г</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363-04-00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62.09 - Iнша дiяльнiсть у сферi iнформацiйних технологiй i комп'ютерних систем</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без лiцензiї. Обслуговує випуск цiнних паперiв Товариства</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установа "Агентство з розвитку iнфраструктури фондового ринку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організація (установа, заклад)</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 Антоновича,  51, офiс 1206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63.11 - Оброблення даних, розмiщення iнформацiї на веб-вузлах i пов'язана з ними дiяльнiсть</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84.13 - Регулювання та сприяння ефективному веденню економiчної </w:t>
            </w:r>
            <w:r>
              <w:rPr>
                <w:rFonts w:ascii="Times New Roman CYR" w:hAnsi="Times New Roman CYR" w:cs="Times New Roman CYR"/>
              </w:rPr>
              <w:lastRenderedPageBreak/>
              <w:t>дiяльностi</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62.02 - Консультування з питань iнформатизацiї</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Працює без лiцензiї. Iнформацiйнi послуги на фондовому ринку з оприлюднення регульованої iнформацiї; Iнформацiйнi послуги з подання звiтностi та/або звiтних даних до НКЦПФР</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w:t>
            </w:r>
            <w:r>
              <w:rPr>
                <w:rFonts w:ascii="Times New Roman CYR" w:hAnsi="Times New Roman CYR" w:cs="Times New Roman CYR"/>
              </w:rPr>
              <w:t xml:space="preserve"> найменування або ім'я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АУДИТОРСЬКА ФIРМА "АУДИТ-IНВЕСТ"</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32241880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49101, Україна, м. Днiпро, вулиця Короленка, будинок 15, iнше примiщення 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0634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Аудиторська палата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27.10.2016</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(056) 745-14-05</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69.20 - Дiяльнiсть у сферi бухгалтерського облiку й аудиту; консультування з питань оподаткування</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r>
              <w:rPr>
                <w:rFonts w:ascii="Times New Roman CYR" w:hAnsi="Times New Roman CYR" w:cs="Times New Roman CYR"/>
              </w:rPr>
              <w:t>7.33 - Надання в оренду офiсних машин i устатковання, у тому числi комп'ютерiв</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85.59 - Iншi види освiти, н.в.i.у.</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Аудит фiнансової звiтностi</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"СТРАХОВА КОМПАНIЯ "УКРАЇНСЬКА СТРАХОВА ГРУПА"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30859524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03038, Україна, м. Київ, вулиця Федорова Iвана, будинок 32 ЛIТ.А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Номер телефону</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237 02 78</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66.21 - Оцiнювання ри</w:t>
            </w:r>
            <w:r>
              <w:rPr>
                <w:rFonts w:ascii="Times New Roman CYR" w:hAnsi="Times New Roman CYR" w:cs="Times New Roman CYR"/>
              </w:rPr>
              <w:t>зикiв та завданої шкоди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АКЦIОНЕРНЕ ТОВАРИСТВО "СТРАХОВА КОМПАНIЯ "IНГО"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16285602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01054, Україна, м. Київ, ВУЛИЦЯ БУЛЬВАРНО-КУДРЯВСЬКА, будинок 33</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4902744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w:t>
            </w:r>
            <w:r>
              <w:rPr>
                <w:rFonts w:ascii="Times New Roman CYR" w:hAnsi="Times New Roman CYR" w:cs="Times New Roman CYR"/>
              </w:rPr>
              <w:t xml:space="preserve"> - Iншi види страхування, крiм страхування життя</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66.29 - Iнша допомiжна дiяльнiсть у сферi страхування та пенсiйного забезпечення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 "УКРАЇНСЬКА ПОЖЕЖНО-СТРАХОВА КОМПАНIЯ"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20602681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04080, Україна, м. Київ, ВУЛИЦЯ КИРИЛIВСЬКА, будинок 40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4636421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68.20 - Надання в оренду й експлуатацiю власного чи орендованого нерухомого майна</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66.29 -</w:t>
            </w:r>
            <w:r>
              <w:rPr>
                <w:rFonts w:ascii="Times New Roman CYR" w:hAnsi="Times New Roman CYR" w:cs="Times New Roman CYR"/>
              </w:rPr>
              <w:t xml:space="preserve"> Iнша допомiжна дiяльнiсть у сферi страхування та пенсiйного </w:t>
            </w:r>
            <w:r>
              <w:rPr>
                <w:rFonts w:ascii="Times New Roman CYR" w:hAnsi="Times New Roman CYR" w:cs="Times New Roman CYR"/>
              </w:rPr>
              <w:lastRenderedPageBreak/>
              <w:t>забезпечення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Повне найменування або ім'я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ПРИВАТНЕ АКЦIОНЕРНЕ ТОВАРИСТВО"СТРАХОВА КОМПАНIЯ "ПЕРША"</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РНОКПП</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УНЗР</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Організаційно-правова форма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Акціонерне товариство</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31681672</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Місцезнаходження</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Україна, м. Київ, вул.Фiзкультури, будинок 30</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Найменування державного ор</w:t>
            </w:r>
            <w:r>
              <w:rPr>
                <w:rFonts w:ascii="Times New Roman CYR" w:hAnsi="Times New Roman CYR" w:cs="Times New Roman CYR"/>
              </w:rPr>
              <w:t>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Нацiональний Банк України</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26.04.2024</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Номер телефону</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3503501</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види діяльності із зазначенням їх найменування та коду за КВЕД</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65.12 - Iншi види страхування, крiм страхування життя</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66.22 - Дiяльнiсть страхових агентiв i брокерiв</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65.20 - Перестрахування</w:t>
            </w:r>
          </w:p>
        </w:tc>
      </w:tr>
      <w:tr w:rsidR="00000000">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Вид послуг, які надає особа</w:t>
            </w:r>
          </w:p>
        </w:tc>
        <w:tc>
          <w:tcPr>
            <w:tcW w:w="4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Послуги iз страхування</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p w:rsidR="00000000" w:rsidRDefault="00714EE6">
      <w:pPr>
        <w:widowControl w:val="0"/>
        <w:autoSpaceDE w:val="0"/>
        <w:autoSpaceDN w:val="0"/>
        <w:adjustRightInd w:val="0"/>
        <w:spacing w:after="0" w:line="240" w:lineRule="auto"/>
        <w:rPr>
          <w:rFonts w:ascii="Times New Roman CYR" w:hAnsi="Times New Roman CYR" w:cs="Times New Roman CYR"/>
        </w:rPr>
      </w:pPr>
    </w:p>
    <w:p w:rsidR="00000000" w:rsidRDefault="00714EE6">
      <w:pPr>
        <w:widowControl w:val="0"/>
        <w:autoSpaceDE w:val="0"/>
        <w:autoSpaceDN w:val="0"/>
        <w:adjustRightInd w:val="0"/>
        <w:spacing w:after="0" w:line="240" w:lineRule="auto"/>
        <w:rPr>
          <w:rFonts w:ascii="Times New Roman CYR" w:hAnsi="Times New Roman CYR" w:cs="Times New Roman CYR"/>
        </w:rPr>
        <w:sectPr w:rsidR="00000000">
          <w:pgSz w:w="12240" w:h="15840"/>
          <w:pgMar w:top="570" w:right="720" w:bottom="570" w:left="720" w:header="708" w:footer="708" w:gutter="0"/>
          <w:cols w:space="720"/>
          <w:noEndnote/>
        </w:sect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lastRenderedPageBreak/>
        <w:t>5. Участь в інших юридичних особах</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
        <w:gridCol w:w="3000"/>
        <w:gridCol w:w="3000"/>
        <w:gridCol w:w="2300"/>
        <w:gridCol w:w="1200"/>
        <w:gridCol w:w="1200"/>
        <w:gridCol w:w="1200"/>
        <w:gridCol w:w="3000"/>
      </w:tblGrid>
      <w:tr w:rsidR="00000000">
        <w:tblPrEx>
          <w:tblCellMar>
            <w:top w:w="0" w:type="dxa"/>
            <w:bottom w:w="0" w:type="dxa"/>
          </w:tblCellMar>
        </w:tblPrEx>
        <w:trPr>
          <w:trHeight w:val="200"/>
        </w:trPr>
        <w:tc>
          <w:tcPr>
            <w:tcW w:w="500" w:type="dxa"/>
            <w:vMerge w:val="restart"/>
            <w:tcBorders>
              <w:top w:val="single" w:sz="6" w:space="0" w:color="auto"/>
              <w:bottom w:val="nil"/>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Повне найменування юридичної особи, в т.ч. її організаційно-правова форма</w:t>
            </w:r>
          </w:p>
        </w:tc>
        <w:tc>
          <w:tcPr>
            <w:tcW w:w="3000" w:type="dxa"/>
            <w:vMerge w:val="restart"/>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Місцезнаходження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Ідентифікаційний код юридичної особи/ номер/код з судового/торговельного/банківського реєстру</w:t>
            </w:r>
          </w:p>
        </w:tc>
        <w:tc>
          <w:tcPr>
            <w:tcW w:w="3600" w:type="dxa"/>
            <w:gridSpan w:val="3"/>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Розмір участі особи (у відсотках)</w:t>
            </w:r>
          </w:p>
        </w:tc>
        <w:tc>
          <w:tcPr>
            <w:tcW w:w="3000" w:type="dxa"/>
            <w:vMerge w:val="restart"/>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Активи, які було пере</w:t>
            </w:r>
            <w:r>
              <w:rPr>
                <w:rFonts w:ascii="Times New Roman CYR" w:hAnsi="Times New Roman CYR" w:cs="Times New Roman CYR"/>
              </w:rPr>
              <w:t>дано особі</w:t>
            </w:r>
          </w:p>
        </w:tc>
      </w:tr>
      <w:tr w:rsidR="00000000">
        <w:tblPrEx>
          <w:tblCellMar>
            <w:top w:w="0" w:type="dxa"/>
            <w:bottom w:w="0" w:type="dxa"/>
          </w:tblCellMar>
        </w:tblPrEx>
        <w:trPr>
          <w:trHeight w:val="200"/>
        </w:trPr>
        <w:tc>
          <w:tcPr>
            <w:tcW w:w="500" w:type="dxa"/>
            <w:vMerge/>
            <w:tcBorders>
              <w:top w:val="nil"/>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3000" w:type="dxa"/>
            <w:vMerge/>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пряма</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опосередкована</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сукупна</w:t>
            </w:r>
          </w:p>
        </w:tc>
        <w:tc>
          <w:tcPr>
            <w:tcW w:w="3000" w:type="dxa"/>
            <w:vMerge/>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3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30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left w:w="28" w:type="dxa"/>
            <w:bottom w:w="0" w:type="dxa"/>
            <w:right w:w="28" w:type="dxa"/>
          </w:tblCellMar>
        </w:tblPrEx>
        <w:trPr>
          <w:trHeight w:val="200"/>
        </w:trPr>
        <w:tc>
          <w:tcPr>
            <w:tcW w:w="5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3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вiдповiдальнiстю "РIК"</w:t>
            </w:r>
          </w:p>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c>
          <w:tcPr>
            <w:tcW w:w="3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89460, Закарпатська область, Ужгородський район, с. Соломоново, вул. Перемоги, 46</w:t>
            </w:r>
          </w:p>
        </w:tc>
        <w:tc>
          <w:tcPr>
            <w:tcW w:w="23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32784477</w:t>
            </w:r>
          </w:p>
        </w:tc>
        <w:tc>
          <w:tcPr>
            <w:tcW w:w="12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99,7487</w:t>
            </w:r>
          </w:p>
        </w:tc>
        <w:tc>
          <w:tcPr>
            <w:tcW w:w="12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99,7487</w:t>
            </w:r>
          </w:p>
        </w:tc>
        <w:tc>
          <w:tcPr>
            <w:tcW w:w="30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Грошовi кошти</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II. Інформація щодо капіталу та цінних паперів</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Цінні папери</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випуски акцій особи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600"/>
        <w:gridCol w:w="1350"/>
        <w:gridCol w:w="1450"/>
        <w:gridCol w:w="1200"/>
        <w:gridCol w:w="1400"/>
        <w:gridCol w:w="1700"/>
      </w:tblGrid>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Тип цінного папера</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7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Частка у статутному капіталі (у відсотках)</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6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3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7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000000">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135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4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Державна комiсiя з цiнних паперiв та фондового ринку</w:t>
            </w:r>
          </w:p>
        </w:tc>
        <w:tc>
          <w:tcPr>
            <w:tcW w:w="17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16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35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290,2</w:t>
            </w:r>
          </w:p>
        </w:tc>
        <w:tc>
          <w:tcPr>
            <w:tcW w:w="12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14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234 475 796</w:t>
            </w:r>
          </w:p>
        </w:tc>
        <w:tc>
          <w:tcPr>
            <w:tcW w:w="17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000000">
        <w:tblPrEx>
          <w:tblCellMar>
            <w:top w:w="0" w:type="dxa"/>
            <w:bottom w:w="0" w:type="dxa"/>
          </w:tblCellMar>
        </w:tblPrEx>
        <w:trPr>
          <w:trHeight w:val="200"/>
        </w:trPr>
        <w:tc>
          <w:tcPr>
            <w:tcW w:w="2600" w:type="dxa"/>
            <w:gridSpan w:val="2"/>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2800" w:type="dxa"/>
            <w:gridSpan w:val="8"/>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емiтента на зовнiшнiх та внутрiшнiх ринках не здiйснювалась.  В звiтному перiодi фактiв допуску/скасування допуску цiнних паперiв до торгiв на регульованому фондовому ринку не було. Протягом звiтного перiоду Товариство не здiйснюв</w:t>
            </w:r>
            <w:r>
              <w:rPr>
                <w:rFonts w:ascii="Times New Roman CYR" w:hAnsi="Times New Roman CYR" w:cs="Times New Roman CYR"/>
              </w:rPr>
              <w:t>ало випускiв акцiй та iнших видiв цiнних паперiв</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В 2011-ому роцi було змiнено номiнальну вартiсть акцiй на 290,2 грн. Мета випуску акцiй: для оновлення основних фондiв, змiцнення матерiально-технiчної бази та поповнення обiгових коштiв для забезпечення ст</w:t>
            </w:r>
            <w:r>
              <w:rPr>
                <w:rFonts w:ascii="Times New Roman CYR" w:hAnsi="Times New Roman CYR" w:cs="Times New Roman CYR"/>
              </w:rPr>
              <w:t>атутної дiяльностi Товариства. Спосiб розмiщення - закрите (приватне). Додаткової емiсiї в звiтному перiодi не було.</w:t>
            </w: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rPr>
            </w:pP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p w:rsidR="00D65533" w:rsidRDefault="00D65533">
      <w:pPr>
        <w:widowControl w:val="0"/>
        <w:autoSpaceDE w:val="0"/>
        <w:autoSpaceDN w:val="0"/>
        <w:adjustRightInd w:val="0"/>
        <w:spacing w:after="0" w:line="240" w:lineRule="auto"/>
        <w:rPr>
          <w:rFonts w:ascii="Times New Roman CYR" w:hAnsi="Times New Roman CYR" w:cs="Times New Roman CYR"/>
          <w:b/>
          <w:bCs/>
          <w:sz w:val="24"/>
          <w:szCs w:val="24"/>
        </w:r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Інформація про загальну кількість голосуючих акцій та кількість голосуючих акцій, права голосу за якими обмежено, а також кількість гол</w:t>
      </w:r>
      <w:r>
        <w:rPr>
          <w:rFonts w:ascii="Times New Roman CYR" w:hAnsi="Times New Roman CYR" w:cs="Times New Roman CYR"/>
          <w:b/>
          <w:bCs/>
          <w:sz w:val="24"/>
          <w:szCs w:val="24"/>
        </w:rPr>
        <w:t>осуючих акцій, права голосу за якими за результатами обмеження таких прав передано іншій особі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500"/>
        <w:gridCol w:w="2000"/>
        <w:gridCol w:w="2000"/>
        <w:gridCol w:w="2000"/>
        <w:gridCol w:w="2100"/>
        <w:gridCol w:w="1500"/>
        <w:gridCol w:w="1500"/>
        <w:gridCol w:w="2800"/>
      </w:tblGrid>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обмежено, шт.</w:t>
            </w:r>
          </w:p>
        </w:tc>
        <w:tc>
          <w:tcPr>
            <w:tcW w:w="28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Кількість голосуючих акцій, права голосу за якими за результатами обмеження таких прав передано іншій особі, шт.</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0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1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280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01.11.2011</w:t>
            </w:r>
          </w:p>
        </w:tc>
        <w:tc>
          <w:tcPr>
            <w:tcW w:w="2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502/1/11</w:t>
            </w:r>
          </w:p>
        </w:tc>
        <w:tc>
          <w:tcPr>
            <w:tcW w:w="2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UA4000110258</w:t>
            </w:r>
          </w:p>
        </w:tc>
        <w:tc>
          <w:tcPr>
            <w:tcW w:w="20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21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234 475 796</w:t>
            </w:r>
          </w:p>
        </w:tc>
        <w:tc>
          <w:tcPr>
            <w:tcW w:w="15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807 980</w:t>
            </w:r>
          </w:p>
        </w:tc>
        <w:tc>
          <w:tcPr>
            <w:tcW w:w="15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280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000000">
        <w:tblPrEx>
          <w:tblCellMar>
            <w:top w:w="0" w:type="dxa"/>
            <w:bottom w:w="0" w:type="dxa"/>
          </w:tblCellMar>
        </w:tblPrEx>
        <w:trPr>
          <w:trHeight w:val="300"/>
        </w:trPr>
        <w:tc>
          <w:tcPr>
            <w:tcW w:w="150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Додаткова інформація</w:t>
            </w:r>
          </w:p>
        </w:tc>
        <w:tc>
          <w:tcPr>
            <w:tcW w:w="13900" w:type="dxa"/>
            <w:gridSpan w:val="7"/>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Характеристика обмеження: обмеження вiдсутнi</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p w:rsidR="00000000" w:rsidRDefault="00714EE6">
      <w:pPr>
        <w:widowControl w:val="0"/>
        <w:autoSpaceDE w:val="0"/>
        <w:autoSpaceDN w:val="0"/>
        <w:adjustRightInd w:val="0"/>
        <w:spacing w:after="0" w:line="240" w:lineRule="auto"/>
        <w:rPr>
          <w:rFonts w:ascii="Times New Roman CYR" w:hAnsi="Times New Roman CYR" w:cs="Times New Roman CYR"/>
        </w:rPr>
        <w:sectPr w:rsidR="00000000">
          <w:pgSz w:w="16837" w:h="11905" w:orient="landscape"/>
          <w:pgMar w:top="570" w:right="720" w:bottom="570" w:left="720" w:header="708" w:footer="708" w:gutter="0"/>
          <w:cols w:space="720"/>
          <w:noEndnote/>
        </w:sect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III. Фінансова інформація</w:t>
      </w:r>
    </w:p>
    <w:p w:rsidR="00000000" w:rsidRDefault="00714EE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1. Проміжна фінансова звітність</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Промiжна фiнансова звiтнiсть на основi таксономiї у машинозчитувальному форматi розмiщена за адресою: https://www.skoda-auto.ua/company/interim_statements25  Посилання на пряме завантаження файлу (архiву) окремої фiнансової звiтностi станом на 30.06.2025 р</w:t>
      </w:r>
      <w:r>
        <w:rPr>
          <w:rFonts w:ascii="Times New Roman CYR" w:hAnsi="Times New Roman CYR" w:cs="Times New Roman CYR"/>
          <w:sz w:val="24"/>
          <w:szCs w:val="24"/>
        </w:rPr>
        <w:t>.: https://www.skoda-auto.ua/_doc/d572cf7a-a443-47fe-90c3-fa730a9cbd92 Iм'я файлу (архiву) 2q2025_30913130 - окрема.zipРозмiр файлу 49 KБ (50600 байтiв)SHA256 контрольна сума: d7ac6c01e33015233c4b7ed1cfe3193ad78fb08fe82e1d0c1ab498629830dc97Посилання на пря</w:t>
      </w:r>
      <w:r>
        <w:rPr>
          <w:rFonts w:ascii="Times New Roman CYR" w:hAnsi="Times New Roman CYR" w:cs="Times New Roman CYR"/>
          <w:sz w:val="24"/>
          <w:szCs w:val="24"/>
        </w:rPr>
        <w:t xml:space="preserve">ме завантаження файлу (архiву) консолiдованої фiнансової звiтностi станом на 30.06.2025 р.:  https://www.skoda-auto.ua/_doc/8411b3c5-081d-4246-9937-1e7843f20805 Iм'я файлу (архiву) 2q2025_30913130 - консолiдована.zipРозмiр файлу 50 KБ (51297 байтiв)SHA256 </w:t>
      </w:r>
      <w:r>
        <w:rPr>
          <w:rFonts w:ascii="Times New Roman CYR" w:hAnsi="Times New Roman CYR" w:cs="Times New Roman CYR"/>
          <w:sz w:val="24"/>
          <w:szCs w:val="24"/>
        </w:rPr>
        <w:t xml:space="preserve">контрольна сума: fc0711dd8765ffb6cdecc0353bcf124f3496fe964b68ad8091c26f27c3da1196 </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i/>
          <w:iCs/>
          <w:sz w:val="24"/>
          <w:szCs w:val="24"/>
        </w:rPr>
        <w:t>3. Твердження щодо проміжної інформації</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Офiцiйна позицiя осiб, якi здiйснюють управлiнськi функцiї, про те, що, наскiльки це їм вiдомо, промiжна фiнансова звiтнiсть та пром</w:t>
      </w:r>
      <w:r>
        <w:rPr>
          <w:rFonts w:ascii="Times New Roman CYR" w:hAnsi="Times New Roman CYR" w:cs="Times New Roman CYR"/>
          <w:sz w:val="24"/>
          <w:szCs w:val="24"/>
        </w:rPr>
        <w:t>iжна консолiдована фiнансова звiтнiсть, складена вiдповiдно до Мiжнародних стандартiв бухгалтерського облiку, що вимагаються згiдно iз Законом України "Про бухгалтерський облiк та фiнансову звiтнiсть", мiстить достовiрну та об'єктивну iнформацiю про стан а</w:t>
      </w:r>
      <w:r>
        <w:rPr>
          <w:rFonts w:ascii="Times New Roman CYR" w:hAnsi="Times New Roman CYR" w:cs="Times New Roman CYR"/>
          <w:sz w:val="24"/>
          <w:szCs w:val="24"/>
        </w:rPr>
        <w:t>ктивiв, пасивiв, фiнансовий стан, прибутки та збитки емiтента, а також про те, що промiжний звiт керiвництва, що подається вiдповiдно до частини четвертої статтi 127 Закону України "Про ринки капiталу та органiзованi товарнi ринки", мiстить достовiрну та о</w:t>
      </w:r>
      <w:r>
        <w:rPr>
          <w:rFonts w:ascii="Times New Roman CYR" w:hAnsi="Times New Roman CYR" w:cs="Times New Roman CYR"/>
          <w:sz w:val="24"/>
          <w:szCs w:val="24"/>
        </w:rPr>
        <w:t xml:space="preserve">б'єктивну iнформацiю.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4. Значні правочини та правочини із заінтересованістю</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прийняття рішення про попереднє надання згоди на вчинення значних правочинів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
        <w:gridCol w:w="1500"/>
        <w:gridCol w:w="7850"/>
      </w:tblGrid>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з/п</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прийняття рішення</w:t>
            </w:r>
          </w:p>
        </w:tc>
        <w:tc>
          <w:tcPr>
            <w:tcW w:w="785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 xml:space="preserve">URL-адреса власного вебсайту особи, </w:t>
            </w:r>
            <w:r>
              <w:rPr>
                <w:rFonts w:ascii="Times New Roman CYR" w:hAnsi="Times New Roman CYR" w:cs="Times New Roman CYR"/>
              </w:rPr>
              <w:t>на якій розміщена інформація про прийняття рішення щодо попереднього надання згоди на вчинення значних правочинів</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7850" w:type="dxa"/>
            <w:tcBorders>
              <w:top w:val="single" w:sz="6" w:space="0" w:color="auto"/>
              <w:left w:val="single" w:sz="6" w:space="0" w:color="auto"/>
              <w:bottom w:val="single" w:sz="6" w:space="0" w:color="auto"/>
            </w:tcBorders>
            <w:vAlign w:val="center"/>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r>
      <w:tr w:rsidR="00000000">
        <w:tblPrEx>
          <w:tblCellMar>
            <w:top w:w="0" w:type="dxa"/>
            <w:bottom w:w="0" w:type="dxa"/>
          </w:tblCellMar>
        </w:tblPrEx>
        <w:trPr>
          <w:trHeight w:val="300"/>
        </w:trPr>
        <w:tc>
          <w:tcPr>
            <w:tcW w:w="550" w:type="dxa"/>
            <w:tcBorders>
              <w:top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500" w:type="dxa"/>
            <w:tcBorders>
              <w:top w:val="single" w:sz="6" w:space="0" w:color="auto"/>
              <w:left w:val="single" w:sz="6" w:space="0" w:color="auto"/>
              <w:bottom w:val="single" w:sz="6" w:space="0" w:color="auto"/>
              <w:right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25.04.2025</w:t>
            </w:r>
          </w:p>
        </w:tc>
        <w:tc>
          <w:tcPr>
            <w:tcW w:w="7850" w:type="dxa"/>
            <w:tcBorders>
              <w:top w:val="single" w:sz="6" w:space="0" w:color="auto"/>
              <w:left w:val="single" w:sz="6" w:space="0" w:color="auto"/>
              <w:bottom w:val="single" w:sz="6" w:space="0" w:color="auto"/>
            </w:tcBorders>
          </w:tcPr>
          <w:p w:rsidR="00000000" w:rsidRDefault="00714EE6">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https://www.skoda-auto.ua/company/emitent-info-2025</w:t>
            </w:r>
          </w:p>
        </w:tc>
      </w:tr>
    </w:tbl>
    <w:p w:rsidR="00000000" w:rsidRDefault="00714EE6">
      <w:pPr>
        <w:widowControl w:val="0"/>
        <w:autoSpaceDE w:val="0"/>
        <w:autoSpaceDN w:val="0"/>
        <w:adjustRightInd w:val="0"/>
        <w:spacing w:after="0" w:line="240" w:lineRule="auto"/>
        <w:rPr>
          <w:rFonts w:ascii="Times New Roman CYR" w:hAnsi="Times New Roman CYR" w:cs="Times New Roman CYR"/>
        </w:rPr>
      </w:pPr>
    </w:p>
    <w:p w:rsidR="00000000" w:rsidRDefault="00714EE6">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IV. Нефінансова інформація</w:t>
      </w:r>
    </w:p>
    <w:p w:rsidR="00000000" w:rsidRDefault="00714EE6">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i/>
          <w:iCs/>
          <w:sz w:val="24"/>
          <w:szCs w:val="24"/>
        </w:rPr>
        <w:t>1. Проміжний звіт керівництва</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Звернення до акціонерів/учасників та інших стейкхолдерів від голови ради особи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Звернення до акціонерів/учасників та інших стейкхолдерів від керівника особи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Вiдсутнє</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Вказівки на важливі події, що відбулися упродовж звітного періоду, та їх вплив на проміжну фінансову звітність, а також опис основних ризиків та невизначеностей у діяльності особи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Рiчними загальними зборами акцiонерiв, якi були проведенi дистанцiйно 21.</w:t>
      </w:r>
      <w:r>
        <w:rPr>
          <w:rFonts w:ascii="Times New Roman CYR" w:hAnsi="Times New Roman CYR" w:cs="Times New Roman CYR"/>
          <w:sz w:val="24"/>
          <w:szCs w:val="24"/>
        </w:rPr>
        <w:t xml:space="preserve">04.2025, прийнято рiшення 25.04.2025 (протокол про пiдсумки голосування вiд 25.04.2025, протокол рiчних дистанцiйних загальних зборiв вiд 25.04.2025 № 28) припинити Приватне акцiонерне товариство "ЄВРОКАР" шляхом його перетворення у Товариство з обмеженою </w:t>
      </w:r>
      <w:r>
        <w:rPr>
          <w:rFonts w:ascii="Times New Roman CYR" w:hAnsi="Times New Roman CYR" w:cs="Times New Roman CYR"/>
          <w:sz w:val="24"/>
          <w:szCs w:val="24"/>
        </w:rPr>
        <w:t xml:space="preserve">вiдповiдальнiстю "ЄВРОКАР МЕНЬЮФЕКЧУРИНГ".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Iнших важливих для Товариства подiй впродовж звiтного перiоду не вiдбувалося, вiдповiдно, їх вплив на промiжну фiнансову звiтнiсть Товариства вiдсутнiй.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Спецiального документу, яким би описувалися характеристи</w:t>
      </w:r>
      <w:r>
        <w:rPr>
          <w:rFonts w:ascii="Times New Roman CYR" w:hAnsi="Times New Roman CYR" w:cs="Times New Roman CYR"/>
          <w:sz w:val="24"/>
          <w:szCs w:val="24"/>
        </w:rPr>
        <w:t>ки систем внутрiшнього контролю та управлiння ризиками в Товариствi, не створено та не затверджено. Проте, при здiйсненнi внутрiшнього контролю використовуються рiзнi методи, вони включають в себе такi елементи, як:</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1) бухгалтерський фiнансовий облiк (iнв</w:t>
      </w:r>
      <w:r>
        <w:rPr>
          <w:rFonts w:ascii="Times New Roman CYR" w:hAnsi="Times New Roman CYR" w:cs="Times New Roman CYR"/>
          <w:sz w:val="24"/>
          <w:szCs w:val="24"/>
        </w:rPr>
        <w:t>ентаризацiя i документацiя, рахунки i подвiйний запис);</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2) бухгалтерський управлiнський облiк (розподiл обов'язкiв, нормування витрат);</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3) аудит, контроль (перевiрка документiв, перевiрка вiрностi арифметичних розрахункiв, пе-ревiрка дотримання правил об</w:t>
      </w:r>
      <w:r>
        <w:rPr>
          <w:rFonts w:ascii="Times New Roman CYR" w:hAnsi="Times New Roman CYR" w:cs="Times New Roman CYR"/>
          <w:sz w:val="24"/>
          <w:szCs w:val="24"/>
        </w:rPr>
        <w:t>лiку окремих господарських операцiй, iнвентаризацiя, усне опи-тування персоналу, пiдтвердження i простежування).</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процесi управлiння Товариством.</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Метою управлiння ризиками є їхня</w:t>
      </w:r>
      <w:r>
        <w:rPr>
          <w:rFonts w:ascii="Times New Roman CYR" w:hAnsi="Times New Roman CYR" w:cs="Times New Roman CYR"/>
          <w:sz w:val="24"/>
          <w:szCs w:val="24"/>
        </w:rPr>
        <w:t xml:space="preserve"> мiнiмiзацiя або мiнiмiзацiя їхнiх наслiдкiв.  Фiнансовi ри-зики постiйно виникають в процесi звичайної дiяльностi Товариства.</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грошовi кошти, дебiторську заборгованi</w:t>
      </w:r>
      <w:r>
        <w:rPr>
          <w:rFonts w:ascii="Times New Roman CYR" w:hAnsi="Times New Roman CYR" w:cs="Times New Roman CYR"/>
          <w:sz w:val="24"/>
          <w:szCs w:val="24"/>
        </w:rPr>
        <w:t>сть, кредиторську заборгованiсть, та пiддаються впливу наступних ризикiв:</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ринковий ризик: змiни на ринку можуть iстотно вплинути на активи/зобов'язання;</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ризик втрати лiквiдностi: товариство може не виконати своїх зобов'язань з причини недоста-тностi </w:t>
      </w:r>
      <w:r>
        <w:rPr>
          <w:rFonts w:ascii="Times New Roman CYR" w:hAnsi="Times New Roman CYR" w:cs="Times New Roman CYR"/>
          <w:sz w:val="24"/>
          <w:szCs w:val="24"/>
        </w:rPr>
        <w:t>(дефiциту)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кредитний ризик: товариство може зазнати збиткiв у разi невиконання фiнансових зобов'язань контрагентами (дебiторами).</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Служби з внутрiшнього контролю та управлiння ризиками в Товариствi не створено. Керiвництво приймає рiшення з мiнiмiзацiї ризикiв, спи</w:t>
      </w:r>
      <w:r>
        <w:rPr>
          <w:rFonts w:ascii="Times New Roman CYR" w:hAnsi="Times New Roman CYR" w:cs="Times New Roman CYR"/>
          <w:sz w:val="24"/>
          <w:szCs w:val="24"/>
        </w:rPr>
        <w:t xml:space="preserve">раючись на власнi знання та досвiд, та застосовуючи наявнi ресурси.  </w:t>
      </w: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000000" w:rsidRDefault="00714EE6">
      <w:pPr>
        <w:widowControl w:val="0"/>
        <w:autoSpaceDE w:val="0"/>
        <w:autoSpaceDN w:val="0"/>
        <w:adjustRightInd w:val="0"/>
        <w:spacing w:after="0" w:line="240" w:lineRule="auto"/>
        <w:jc w:val="both"/>
        <w:rPr>
          <w:rFonts w:ascii="Times New Roman CYR" w:hAnsi="Times New Roman CYR" w:cs="Times New Roman CYR"/>
          <w:sz w:val="24"/>
          <w:szCs w:val="24"/>
        </w:rPr>
      </w:pPr>
    </w:p>
    <w:p w:rsidR="00714EE6" w:rsidRDefault="00714EE6">
      <w:pPr>
        <w:widowControl w:val="0"/>
        <w:autoSpaceDE w:val="0"/>
        <w:autoSpaceDN w:val="0"/>
        <w:adjustRightInd w:val="0"/>
        <w:spacing w:after="0" w:line="240" w:lineRule="auto"/>
        <w:rPr>
          <w:rFonts w:ascii="Times New Roman CYR" w:hAnsi="Times New Roman CYR" w:cs="Times New Roman CYR"/>
          <w:sz w:val="24"/>
          <w:szCs w:val="24"/>
        </w:rPr>
      </w:pPr>
    </w:p>
    <w:sectPr w:rsidR="00714EE6">
      <w:pgSz w:w="12240" w:h="15840"/>
      <w:pgMar w:top="570" w:right="720" w:bottom="570" w:left="720" w:header="708" w:footer="70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EE6" w:rsidRDefault="00714EE6" w:rsidP="00D65533">
      <w:pPr>
        <w:spacing w:after="0" w:line="240" w:lineRule="auto"/>
      </w:pPr>
      <w:r>
        <w:separator/>
      </w:r>
    </w:p>
  </w:endnote>
  <w:endnote w:type="continuationSeparator" w:id="0">
    <w:p w:rsidR="00714EE6" w:rsidRDefault="00714EE6" w:rsidP="00D655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altName w:val="Times New Roman"/>
    <w:panose1 w:val="02020603050405020304"/>
    <w:charset w:val="CC"/>
    <w:family w:val="roman"/>
    <w:pitch w:val="variable"/>
    <w:sig w:usb0="E0002EFF" w:usb1="C000785B" w:usb2="00000009" w:usb3="00000000" w:csb0="000001FF" w:csb1="00000000"/>
  </w:font>
  <w:font w:name="Times New Roman CYR">
    <w:altName w:val="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EE6" w:rsidRDefault="00714EE6" w:rsidP="00D65533">
      <w:pPr>
        <w:spacing w:after="0" w:line="240" w:lineRule="auto"/>
      </w:pPr>
      <w:r>
        <w:separator/>
      </w:r>
    </w:p>
  </w:footnote>
  <w:footnote w:type="continuationSeparator" w:id="0">
    <w:p w:rsidR="00714EE6" w:rsidRDefault="00714EE6" w:rsidP="00D6553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5533" w:rsidRDefault="00D65533">
    <w:pPr>
      <w:pStyle w:val="a4"/>
      <w:jc w:val="center"/>
    </w:pPr>
    <w:fldSimple w:instr=" PAGE   \* MERGEFORMAT ">
      <w:r>
        <w:rPr>
          <w:noProof/>
        </w:rPr>
        <w:t>33</w:t>
      </w:r>
    </w:fldSimple>
  </w:p>
  <w:p w:rsidR="00D65533" w:rsidRDefault="00D65533">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65533"/>
    <w:rsid w:val="00714EE6"/>
    <w:rsid w:val="00D65533"/>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6553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D65533"/>
    <w:pPr>
      <w:tabs>
        <w:tab w:val="center" w:pos="4819"/>
        <w:tab w:val="right" w:pos="9639"/>
      </w:tabs>
    </w:pPr>
  </w:style>
  <w:style w:type="character" w:customStyle="1" w:styleId="a5">
    <w:name w:val="Верхний колонтитул Знак"/>
    <w:basedOn w:val="a0"/>
    <w:link w:val="a4"/>
    <w:uiPriority w:val="99"/>
    <w:rsid w:val="00D65533"/>
  </w:style>
  <w:style w:type="paragraph" w:styleId="a6">
    <w:name w:val="footer"/>
    <w:basedOn w:val="a"/>
    <w:link w:val="a7"/>
    <w:uiPriority w:val="99"/>
    <w:semiHidden/>
    <w:unhideWhenUsed/>
    <w:rsid w:val="00D65533"/>
    <w:pPr>
      <w:tabs>
        <w:tab w:val="center" w:pos="4819"/>
        <w:tab w:val="right" w:pos="9639"/>
      </w:tabs>
    </w:pPr>
  </w:style>
  <w:style w:type="character" w:customStyle="1" w:styleId="a7">
    <w:name w:val="Нижний колонтитул Знак"/>
    <w:basedOn w:val="a0"/>
    <w:link w:val="a6"/>
    <w:uiPriority w:val="99"/>
    <w:semiHidden/>
    <w:rsid w:val="00D6553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33</Pages>
  <Words>31263</Words>
  <Characters>17821</Characters>
  <Application>Microsoft Office Word</Application>
  <DocSecurity>0</DocSecurity>
  <Lines>148</Lines>
  <Paragraphs>97</Paragraphs>
  <ScaleCrop>false</ScaleCrop>
  <Company/>
  <LinksUpToDate>false</LinksUpToDate>
  <CharactersWithSpaces>48987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Я</dc:creator>
  <cp:lastModifiedBy>Катерина Я</cp:lastModifiedBy>
  <cp:revision>2</cp:revision>
  <dcterms:created xsi:type="dcterms:W3CDTF">2025-10-31T07:30:00Z</dcterms:created>
  <dcterms:modified xsi:type="dcterms:W3CDTF">2025-10-31T07:30:00Z</dcterms:modified>
</cp:coreProperties>
</file>