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88B" w:rsidRDefault="002970C4">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3088B">
        <w:trPr>
          <w:trHeight w:val="300"/>
        </w:trPr>
        <w:tc>
          <w:tcPr>
            <w:tcW w:w="5230" w:type="dxa"/>
            <w:tcBorders>
              <w:top w:val="nil"/>
              <w:left w:val="nil"/>
              <w:bottom w:val="single" w:sz="6" w:space="0" w:color="auto"/>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30.10.2025</w:t>
            </w:r>
          </w:p>
        </w:tc>
      </w:tr>
      <w:tr w:rsidR="0003088B">
        <w:tblPrEx>
          <w:tblBorders>
            <w:bottom w:val="none" w:sz="0" w:space="0" w:color="auto"/>
          </w:tblBorders>
        </w:tblPrEx>
        <w:trPr>
          <w:trHeight w:val="300"/>
        </w:trPr>
        <w:tc>
          <w:tcPr>
            <w:tcW w:w="5230" w:type="dxa"/>
            <w:tcBorders>
              <w:top w:val="nil"/>
              <w:left w:val="nil"/>
              <w:bottom w:val="nil"/>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3088B">
        <w:trPr>
          <w:trHeight w:val="300"/>
        </w:trPr>
        <w:tc>
          <w:tcPr>
            <w:tcW w:w="5230" w:type="dxa"/>
            <w:tcBorders>
              <w:top w:val="nil"/>
              <w:left w:val="nil"/>
              <w:bottom w:val="single" w:sz="6" w:space="0" w:color="auto"/>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375</w:t>
            </w:r>
          </w:p>
        </w:tc>
      </w:tr>
      <w:tr w:rsidR="0003088B">
        <w:trPr>
          <w:trHeight w:val="300"/>
        </w:trPr>
        <w:tc>
          <w:tcPr>
            <w:tcW w:w="5230" w:type="dxa"/>
            <w:tcBorders>
              <w:top w:val="nil"/>
              <w:left w:val="nil"/>
              <w:bottom w:val="nil"/>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3088B">
        <w:trPr>
          <w:trHeight w:val="300"/>
        </w:trPr>
        <w:tc>
          <w:tcPr>
            <w:tcW w:w="10465" w:type="dxa"/>
            <w:tcBorders>
              <w:top w:val="nil"/>
              <w:left w:val="nil"/>
              <w:bottom w:val="nil"/>
              <w:right w:val="nil"/>
            </w:tcBorders>
            <w:vAlign w:val="bottom"/>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3088B">
        <w:trPr>
          <w:trHeight w:val="200"/>
        </w:trPr>
        <w:tc>
          <w:tcPr>
            <w:tcW w:w="3415" w:type="dxa"/>
            <w:tcBorders>
              <w:top w:val="nil"/>
              <w:left w:val="nil"/>
              <w:bottom w:val="single" w:sz="6" w:space="0" w:color="auto"/>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комiсiї з припинення</w:t>
            </w: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03088B">
        <w:trPr>
          <w:trHeight w:val="200"/>
        </w:trPr>
        <w:tc>
          <w:tcPr>
            <w:tcW w:w="3415" w:type="dxa"/>
            <w:tcBorders>
              <w:top w:val="nil"/>
              <w:left w:val="nil"/>
              <w:bottom w:val="nil"/>
              <w:right w:val="nil"/>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3088B" w:rsidRDefault="002970C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"Єврокар" (30913130)</w:t>
      </w:r>
    </w:p>
    <w:p w:rsidR="0003088B" w:rsidRDefault="002970C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1 квартал 2025 року</w:t>
      </w:r>
    </w:p>
    <w:p w:rsidR="0003088B" w:rsidRDefault="0003088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 </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4949"/>
        <w:gridCol w:w="236"/>
        <w:gridCol w:w="1669"/>
      </w:tblGrid>
      <w:tr w:rsidR="0003088B">
        <w:trPr>
          <w:trHeight w:val="300"/>
        </w:trPr>
        <w:tc>
          <w:tcPr>
            <w:tcW w:w="3415" w:type="dxa"/>
            <w:vMerge w:val="restart"/>
            <w:tcBorders>
              <w:top w:val="nil"/>
              <w:left w:val="nil"/>
              <w:bottom w:val="nil"/>
              <w:right w:val="nil"/>
            </w:tcBorders>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https://www.skoda-auto.ua/company/interim-information-of-the-issuer-of-securities-for-2025</w:t>
            </w: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30.10.2025</w:t>
            </w:r>
          </w:p>
        </w:tc>
      </w:tr>
      <w:tr w:rsidR="0003088B">
        <w:trPr>
          <w:trHeight w:val="300"/>
        </w:trPr>
        <w:tc>
          <w:tcPr>
            <w:tcW w:w="3415" w:type="dxa"/>
            <w:vMerge/>
            <w:tcBorders>
              <w:top w:val="nil"/>
              <w:left w:val="nil"/>
              <w:bottom w:val="nil"/>
              <w:right w:val="nil"/>
            </w:tcBorders>
          </w:tcPr>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sectPr w:rsidR="0003088B">
          <w:headerReference w:type="default" r:id="rId6"/>
          <w:pgSz w:w="12240" w:h="15840"/>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за 1 квартал 2025 року не був затверджений жодним iз органiв Товариства, тому що законодавством, статутом та внутрiшнiми документами Товариства не передбачено затвердження промiжного звiту.</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Товариства не визначає рейтингової оцiнки емiтента або цiнних паперiв вiдповiдно до ст. 4-1 Закону України "Про державне регулювання ринкiв капiталу та органiзованих товарних ринкiв".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кiнець звiтного перiоду, стороною в яких виступає Товариство.</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штрафнi санкцiї не надається, тому що до Товариства станом на кiнець звiтного перiоду, такi не застосовувались.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є двi фiзичнi особи: Боярин Олег Петрович, Царенко Iгор Анатолiйович.</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корпоративного секретаря не надається, тому що на кiнець звiтного перiоду посада корпоративного секретаря в Товариствi була вiдсутня.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надається, тому що посадовi особи акцiями Товариства не володiють.</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вiдокремлених пiдроздiлiв не надається, тому що Товариство не має вiдокремлених пiдроздiлiв.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такi обмеження вiдсутнi.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 випускало забезпечених боргових цiнних паперiв.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(у разi емiсiї цiльових корпоративних облiгацiй, виконання зобов'язань за якими здiйснюється шляхом передання об'єкта (частини об'єкта) житлового будiвництва)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цiнних паперiв (крiм акцiй) такої особи не надається, тому що Товариство не випускало iнших цiнних паперiв, крiм акцiй.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акцiй у розмiрi понад 0,1% розмiру статутного капiталу не надається, тому що працiвники Товариства не володiють акцiями Товариства.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такi обмеження вiдсутнi.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огляду промiжної фiнансової звiтностi не надається, тому що Товариством не залучався суб'єкт аудиторської дiяльностi для перевiрки промiжної фiнансової звiтностi Товариства.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попереднє надання згоди на вчинення значних правочинiв не надається, тому що у звiтному перiодi такi рiшення не приймалися.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щодо вчинення яких є заiнтересованiсть, не надається, тому що протягом звiтного перiоду правочини з заiнтерисованiстю не вчинялись.</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положеннями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Промiжна фiнансова звiтнiсть та консолiдована промiжна фiнансова звiтнiсть емiтента, складена за мiжнародними стандартами фiнансової звiтностi, не надається, тому що в р. III гл.I даного промiжного звiту зазначено посилання на URL-адреса вебсайту особи, за якою розмiщено промiжну фiнансову звiтнiсть на основi таксономiї фiнансової звiтностi.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РНОКПП та УНЗР деяких посадових осiб не надається, тому що РНОКПП та УНЗР в таких посадових осiб вiдсутнiй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3088B" w:rsidRDefault="002970C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проміжного звіту</w:t>
      </w: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Style w:val="a7"/>
        <w:tblW w:w="0" w:type="auto"/>
        <w:tblLook w:val="04A0"/>
      </w:tblPr>
      <w:tblGrid>
        <w:gridCol w:w="8472"/>
        <w:gridCol w:w="2255"/>
      </w:tblGrid>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I. Загальна інформація</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5</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1. Ідентифікаційні дані та загальна інформація</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5</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2. Органи управління та посадові особи. Організаційна структура</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7</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3. Структура власності</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13</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4. Опис господарської та фінансової діяльності</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13</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5. Участь в інших особах</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26</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II. Інформація щодо капіталу та цінних паперів</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26</w:t>
            </w:r>
          </w:p>
        </w:tc>
      </w:tr>
      <w:tr w:rsidR="008A3DE7" w:rsidTr="008A3DE7">
        <w:tc>
          <w:tcPr>
            <w:tcW w:w="8472" w:type="dxa"/>
          </w:tcPr>
          <w:p w:rsidR="008A3DE7" w:rsidRDefault="008A3DE7" w:rsidP="008A3DE7">
            <w:pPr>
              <w:widowControl w:val="0"/>
              <w:autoSpaceDE w:val="0"/>
              <w:autoSpaceDN w:val="0"/>
              <w:adjustRightInd w:val="0"/>
              <w:rPr>
                <w:rFonts w:ascii="Times New Roman CYR" w:hAnsi="Times New Roman CYR" w:cs="Times New Roman CYR"/>
                <w:b/>
                <w:bCs/>
                <w:sz w:val="24"/>
                <w:szCs w:val="24"/>
              </w:rPr>
            </w:pPr>
            <w:r w:rsidRPr="008A3DE7">
              <w:rPr>
                <w:rFonts w:ascii="Times New Roman CYR" w:hAnsi="Times New Roman CYR" w:cs="Times New Roman CYR"/>
                <w:sz w:val="24"/>
                <w:szCs w:val="24"/>
              </w:rPr>
              <w:t>1. Цінні папери</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26</w:t>
            </w:r>
          </w:p>
        </w:tc>
      </w:tr>
      <w:tr w:rsidR="008A3DE7" w:rsidTr="008A3DE7">
        <w:tc>
          <w:tcPr>
            <w:tcW w:w="8472" w:type="dxa"/>
          </w:tcPr>
          <w:p w:rsidR="008A3DE7" w:rsidRPr="008A3DE7" w:rsidRDefault="008A3DE7" w:rsidP="008A3DE7">
            <w:pPr>
              <w:widowControl w:val="0"/>
              <w:autoSpaceDE w:val="0"/>
              <w:autoSpaceDN w:val="0"/>
              <w:adjustRightInd w:val="0"/>
              <w:rPr>
                <w:rFonts w:ascii="Times New Roman CYR" w:hAnsi="Times New Roman CYR" w:cs="Times New Roman CYR"/>
                <w:sz w:val="24"/>
                <w:szCs w:val="24"/>
              </w:rPr>
            </w:pPr>
            <w:r w:rsidRPr="008A3DE7">
              <w:rPr>
                <w:rFonts w:ascii="Times New Roman CYR" w:hAnsi="Times New Roman CYR" w:cs="Times New Roman CYR"/>
                <w:sz w:val="24"/>
                <w:szCs w:val="24"/>
              </w:rPr>
              <w:t>III. Фінансова інформація</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28</w:t>
            </w:r>
          </w:p>
        </w:tc>
      </w:tr>
      <w:tr w:rsidR="008A3DE7" w:rsidTr="008A3DE7">
        <w:tc>
          <w:tcPr>
            <w:tcW w:w="8472" w:type="dxa"/>
          </w:tcPr>
          <w:p w:rsidR="008A3DE7" w:rsidRPr="008A3DE7" w:rsidRDefault="008A3DE7" w:rsidP="008A3DE7">
            <w:pPr>
              <w:widowControl w:val="0"/>
              <w:autoSpaceDE w:val="0"/>
              <w:autoSpaceDN w:val="0"/>
              <w:adjustRightInd w:val="0"/>
              <w:rPr>
                <w:rFonts w:ascii="Times New Roman CYR" w:hAnsi="Times New Roman CYR" w:cs="Times New Roman CYR"/>
                <w:sz w:val="24"/>
                <w:szCs w:val="24"/>
              </w:rPr>
            </w:pPr>
            <w:r w:rsidRPr="008A3DE7">
              <w:rPr>
                <w:rFonts w:ascii="Times New Roman CYR" w:hAnsi="Times New Roman CYR" w:cs="Times New Roman CYR"/>
                <w:sz w:val="24"/>
                <w:szCs w:val="24"/>
              </w:rPr>
              <w:t>1. Проміжна фінансова звітність</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28</w:t>
            </w:r>
          </w:p>
        </w:tc>
      </w:tr>
      <w:tr w:rsidR="008A3DE7" w:rsidTr="008A3DE7">
        <w:tc>
          <w:tcPr>
            <w:tcW w:w="8472" w:type="dxa"/>
          </w:tcPr>
          <w:p w:rsidR="008A3DE7" w:rsidRPr="008A3DE7" w:rsidRDefault="008A3DE7" w:rsidP="008A3DE7">
            <w:pPr>
              <w:widowControl w:val="0"/>
              <w:autoSpaceDE w:val="0"/>
              <w:autoSpaceDN w:val="0"/>
              <w:adjustRightInd w:val="0"/>
              <w:rPr>
                <w:rFonts w:ascii="Times New Roman CYR" w:hAnsi="Times New Roman CYR" w:cs="Times New Roman CYR"/>
                <w:sz w:val="24"/>
                <w:szCs w:val="24"/>
              </w:rPr>
            </w:pPr>
            <w:r w:rsidRPr="008A3DE7">
              <w:rPr>
                <w:rFonts w:ascii="Times New Roman CYR" w:hAnsi="Times New Roman CYR" w:cs="Times New Roman CYR"/>
                <w:sz w:val="24"/>
                <w:szCs w:val="24"/>
              </w:rPr>
              <w:t>3. Твердження щодо проміжної інформації</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28</w:t>
            </w:r>
          </w:p>
        </w:tc>
      </w:tr>
      <w:tr w:rsidR="008A3DE7" w:rsidTr="008A3DE7">
        <w:tc>
          <w:tcPr>
            <w:tcW w:w="8472" w:type="dxa"/>
          </w:tcPr>
          <w:p w:rsidR="008A3DE7" w:rsidRPr="008A3DE7" w:rsidRDefault="008A3DE7" w:rsidP="008A3DE7">
            <w:pPr>
              <w:widowControl w:val="0"/>
              <w:autoSpaceDE w:val="0"/>
              <w:autoSpaceDN w:val="0"/>
              <w:adjustRightInd w:val="0"/>
              <w:rPr>
                <w:rFonts w:ascii="Times New Roman CYR" w:hAnsi="Times New Roman CYR" w:cs="Times New Roman CYR"/>
                <w:sz w:val="24"/>
                <w:szCs w:val="24"/>
              </w:rPr>
            </w:pPr>
            <w:r w:rsidRPr="008A3DE7">
              <w:rPr>
                <w:rFonts w:ascii="Times New Roman CYR" w:hAnsi="Times New Roman CYR" w:cs="Times New Roman CYR"/>
                <w:sz w:val="24"/>
                <w:szCs w:val="24"/>
              </w:rPr>
              <w:t>4. Значні правочини та правочини із заінтересованістю</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28</w:t>
            </w:r>
          </w:p>
        </w:tc>
      </w:tr>
      <w:tr w:rsidR="008A3DE7" w:rsidTr="008A3DE7">
        <w:tc>
          <w:tcPr>
            <w:tcW w:w="8472" w:type="dxa"/>
          </w:tcPr>
          <w:p w:rsidR="008A3DE7" w:rsidRPr="008A3DE7" w:rsidRDefault="008A3DE7" w:rsidP="008A3DE7">
            <w:pPr>
              <w:widowControl w:val="0"/>
              <w:autoSpaceDE w:val="0"/>
              <w:autoSpaceDN w:val="0"/>
              <w:adjustRightInd w:val="0"/>
              <w:rPr>
                <w:rFonts w:ascii="Times New Roman CYR" w:hAnsi="Times New Roman CYR" w:cs="Times New Roman CYR"/>
                <w:sz w:val="24"/>
                <w:szCs w:val="24"/>
              </w:rPr>
            </w:pPr>
            <w:r w:rsidRPr="008A3DE7">
              <w:rPr>
                <w:rFonts w:ascii="Times New Roman CYR" w:hAnsi="Times New Roman CYR" w:cs="Times New Roman CYR"/>
                <w:sz w:val="24"/>
                <w:szCs w:val="24"/>
              </w:rPr>
              <w:t>IV. Нефінансова інформація</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29</w:t>
            </w:r>
          </w:p>
        </w:tc>
      </w:tr>
      <w:tr w:rsidR="008A3DE7" w:rsidTr="008A3DE7">
        <w:tc>
          <w:tcPr>
            <w:tcW w:w="8472" w:type="dxa"/>
          </w:tcPr>
          <w:p w:rsidR="008A3DE7" w:rsidRPr="008A3DE7" w:rsidRDefault="008A3DE7" w:rsidP="008A3DE7">
            <w:pPr>
              <w:widowControl w:val="0"/>
              <w:autoSpaceDE w:val="0"/>
              <w:autoSpaceDN w:val="0"/>
              <w:adjustRightInd w:val="0"/>
              <w:rPr>
                <w:rFonts w:ascii="Times New Roman CYR" w:hAnsi="Times New Roman CYR" w:cs="Times New Roman CYR"/>
                <w:sz w:val="24"/>
                <w:szCs w:val="24"/>
              </w:rPr>
            </w:pPr>
            <w:r w:rsidRPr="008A3DE7">
              <w:rPr>
                <w:rFonts w:ascii="Times New Roman CYR" w:hAnsi="Times New Roman CYR" w:cs="Times New Roman CYR"/>
                <w:sz w:val="24"/>
                <w:szCs w:val="24"/>
              </w:rPr>
              <w:t>1. Проміжний звіт керівництва</w:t>
            </w:r>
          </w:p>
        </w:tc>
        <w:tc>
          <w:tcPr>
            <w:tcW w:w="2255" w:type="dxa"/>
          </w:tcPr>
          <w:p w:rsidR="008A3DE7" w:rsidRDefault="008A3DE7">
            <w:pPr>
              <w:widowControl w:val="0"/>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29</w:t>
            </w:r>
          </w:p>
        </w:tc>
      </w:tr>
    </w:tbl>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sectPr w:rsidR="0003088B">
          <w:pgSz w:w="12240" w:h="15840"/>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"Єврокар"</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30913130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14.04.2000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89460, Україна, Закарпатська обл., Ужгородський р-н р-н, с. Соломоново, вул.Перемоги, 46</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eurocar@eurocar.ua</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https://www.skoda-auto.ua/</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(0312) 646130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234475796</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29.10 - Виробництво автотранспортних засобiв</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33.20 - Установлення та монтаж машин та устаткування</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29.32 - Виробництво iнших вузлiв, деталей i приладдя для автотранспортних засобiв</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долар США</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3088B">
        <w:trPr>
          <w:trHeight w:val="300"/>
        </w:trPr>
        <w:tc>
          <w:tcPr>
            <w:tcW w:w="500" w:type="dxa"/>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i/>
          <w:iCs/>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3088B">
        <w:trPr>
          <w:trHeight w:val="200"/>
        </w:trPr>
        <w:tc>
          <w:tcPr>
            <w:tcW w:w="55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(чотири) акцiонери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r>
      <w:tr w:rsidR="0003088B">
        <w:trPr>
          <w:trHeight w:val="200"/>
        </w:trPr>
        <w:tc>
          <w:tcPr>
            <w:tcW w:w="55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(п'ять)</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 Вiнфрiд Фаланд</w:t>
            </w:r>
          </w:p>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Голови Наглядової Ради - Панов Володимир Олексiйович</w:t>
            </w:r>
          </w:p>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Члени наглядової ради: Чернобай Дмитро Михайлович, Боярин Петро Iллiч, Боярин Вiктор Олегович</w:t>
            </w:r>
          </w:p>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55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 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(один)</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 - генеральний директор</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03088B">
      <w:pPr>
        <w:widowControl w:val="0"/>
        <w:autoSpaceDE w:val="0"/>
        <w:autoSpaceDN w:val="0"/>
        <w:adjustRightInd w:val="0"/>
        <w:spacing w:after="0" w:line="240" w:lineRule="auto"/>
        <w:rPr>
          <w:rFonts w:ascii="Times New Roman CYR" w:hAnsi="Times New Roman CYR" w:cs="Times New Roman CYR"/>
        </w:rPr>
        <w:sectPr w:rsidR="0003088B">
          <w:pgSz w:w="12240" w:h="15840"/>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Вiнфрiд Фаланд</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Volvo Car Corporation (Швецiя)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556074-3089</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Ради директорiв;</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Eldor Corporation S.p.A., 02390960132 - голова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Proton Holdings Berhad , 200301020757 (623177-A) - 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Vibracoustic AG (Registration No. HRB 98601), DE813973055 - 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Polestar Automotive Holding UK PLC, 13624182,  директор (член) ради директорiв, голова ради директорiв</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 до переобрання</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Панов Володимир Олексiйович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w:t>
            </w:r>
            <w:r>
              <w:rPr>
                <w:rFonts w:ascii="Times New Roman CYR" w:hAnsi="Times New Roman CYR" w:cs="Times New Roman CYR"/>
                <w:sz w:val="20"/>
                <w:szCs w:val="20"/>
              </w:rPr>
              <w:lastRenderedPageBreak/>
              <w:t>ВIДПОВIДАЛЬНIСТЮ "СТС",  32784440,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"СЕЗПАРКСЕРВIС"  34676141,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"ВIКО-СПОРТ" 22081542,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федерацiя роботодавцiв Закарпаття, 38015500, голова органiзацiї роботодавцiв;</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"Обласне об'єднання роботодавцiв Закарпаття", 26464101, голова об'єднання роботодавцiв;</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Закарпатська обласна органiзацiя машинобудування, 38369635, голова органiзацiї;</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органiзацiя рекреацiї та туризму Закарпаття, 38369640, голова органiзацiї;</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Благодiйний фонд "Фонд стратегiчних дослiджень", 25444883,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Благодiйний фонд "Карпатський Єврорегiон", 22114974,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"СОЛОМОНОВО ДЕВЕЛОПМЕНТ ПАРК", </w:t>
            </w:r>
            <w:r>
              <w:rPr>
                <w:rFonts w:ascii="Times New Roman CYR" w:hAnsi="Times New Roman CYR" w:cs="Times New Roman CYR"/>
                <w:sz w:val="20"/>
                <w:szCs w:val="20"/>
              </w:rPr>
              <w:lastRenderedPageBreak/>
              <w:t>45230861,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Чернобай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Петро Iллiч</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61</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"Академiя", 21545293,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генеральний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Вiктор Олегович</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легенда"</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3360053</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Київ", 31904127,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Днiпро", 32312667,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свобода",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Сервiс", 20058711, член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фахiвець з iнновацiйної дiяльностi</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3088B">
        <w:trPr>
          <w:trHeight w:val="2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голова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"Атолл Холдiнг", 31237888, директор;</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Приватне акцiонерне товариство "Автотрейдiнг Iнвест", 31106821, </w:t>
            </w:r>
            <w:r>
              <w:rPr>
                <w:rFonts w:ascii="Times New Roman CYR" w:hAnsi="Times New Roman CYR" w:cs="Times New Roman CYR"/>
                <w:sz w:val="20"/>
                <w:szCs w:val="20"/>
              </w:rPr>
              <w:lastRenderedPageBreak/>
              <w:t>голова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"МТ Консалтiнг", 31167727, голова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СЕРВIС", 20058711, голова наглядової ради;</w:t>
            </w:r>
          </w:p>
          <w:p w:rsidR="0003088B" w:rsidRDefault="0003088B">
            <w:pPr>
              <w:widowControl w:val="0"/>
              <w:autoSpaceDE w:val="0"/>
              <w:autoSpaceDN w:val="0"/>
              <w:adjustRightInd w:val="0"/>
              <w:spacing w:after="0" w:line="240" w:lineRule="auto"/>
              <w:jc w:val="center"/>
              <w:rPr>
                <w:rFonts w:ascii="Times New Roman CYR" w:hAnsi="Times New Roman CYR" w:cs="Times New Roman CYR"/>
                <w:sz w:val="20"/>
                <w:szCs w:val="20"/>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"АВТОТРЕЙДIНГ АТОЛЛ ГРУП", 35755339, директор, голова наглядової ради,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01.10.202</w:t>
            </w:r>
            <w:r w:rsidR="00A64890">
              <w:rPr>
                <w:rFonts w:ascii="Times New Roman CYR" w:hAnsi="Times New Roman CYR" w:cs="Times New Roman CYR"/>
                <w:sz w:val="20"/>
                <w:szCs w:val="20"/>
              </w:rPr>
              <w:t>4</w:t>
            </w:r>
          </w:p>
          <w:p w:rsidR="0003088B" w:rsidRDefault="002970C4" w:rsidP="00A6489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30.09.202</w:t>
            </w:r>
            <w:r w:rsidR="00A64890">
              <w:rPr>
                <w:rFonts w:ascii="Times New Roman CYR" w:hAnsi="Times New Roman CYR" w:cs="Times New Roman CYR"/>
                <w:sz w:val="20"/>
                <w:szCs w:val="20"/>
              </w:rPr>
              <w:t>5</w:t>
            </w:r>
            <w:r>
              <w:rPr>
                <w:rFonts w:ascii="Times New Roman CYR" w:hAnsi="Times New Roman CYR" w:cs="Times New Roman CYR"/>
                <w:sz w:val="20"/>
                <w:szCs w:val="20"/>
              </w:rPr>
              <w:t xml:space="preserve"> (включно)</w:t>
            </w:r>
          </w:p>
        </w:tc>
        <w:tc>
          <w:tcPr>
            <w:tcW w:w="14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pPr>
    </w:p>
    <w:p w:rsidR="0003088B" w:rsidRDefault="0003088B">
      <w:pPr>
        <w:widowControl w:val="0"/>
        <w:autoSpaceDE w:val="0"/>
        <w:autoSpaceDN w:val="0"/>
        <w:adjustRightInd w:val="0"/>
        <w:spacing w:after="0" w:line="240" w:lineRule="auto"/>
        <w:rPr>
          <w:rFonts w:ascii="Times New Roman CYR" w:hAnsi="Times New Roman CYR" w:cs="Times New Roman CYR"/>
          <w:sz w:val="20"/>
          <w:szCs w:val="20"/>
        </w:rPr>
        <w:sectPr w:rsidR="0003088B">
          <w:pgSz w:w="16837" w:h="11905" w:orient="landscape"/>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https://www.skoda-auto.ua/company/organizational-structure-of-emitent </w:t>
      </w: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https://www.skoda-auto.ua/company/ownership-structure-of-emitent</w:t>
      </w: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належить до будь-яких об'єднань пiдприємств.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пiдприємствами, установами.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об'єктiв основних засобiв нараховується по прямолiнiйному методу. Визнання, оцiнка i облiк основних засобiв здiйснюється вiдповiдно до МСБО 16 "Основнi засоби". Визнання, оцiнка i облiк нематерiальних активiв здiйснюється вiдповiдно до МСБО 38 "Нематерiальнi активи". Одиницею облiку визнається окремий об'єкт нематерiальних активiв. Товарно-матерiальнi цiнностi визнаються, оцiнюються i враховуються вiдповiдно до МСБО 2 "Запаси". Одиницею запасiв визнається кожне найменування цiнностей. Придбанi запаси зараховуються на баланс по собiвартостi вiдповiдно до МСБО 2 "Запаси", ТЗВ включаються в собiвартiсть запасiв. Запаси, якi не принесуть економiчних вигод в майбутньому, визнаються нелiквiдними i списуються в бухгалтерському облiку. Фiнансовi iнвестицiї первiсно оцiнюються та вiдображаються у бухгалтерському облiку за собiвартiстю. Собiвартiсть фiнансової iнвестицiї складається з цiни її придбання, комiсiйних винагород, мита, податкiв, зборiв, обов'язкових платежiв та iнших витрат, безпосередньо пов'язаних з придбанням фiнансової iнвестицiї. Фiнансовi iнвестицiї на дату балансу вiдображаються за справедливою вартiстю.</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коштiв фiнансових установ (банкiв). Робочого капiталу достатньо для поточних потреб. Можливим шляхом покращення лiквiдностi є зниження кредиторської заборгованостi.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продуктiв (товарiв та/або послуг), якi виробляє/надає особа;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видом продукцiї пiдприємства є автомобiлi марки "Skoda", що призначенi для перевезення пасажирiв i невеликого вантажу.</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та грошовому виразi);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виразi: 226 шт. Обсяги виробництва у грошовому виразi:  204471 тис.грн.</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продуктiв;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955,7 тис. грн.</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виручки;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виручки у звiтному перiодi вiд реалiзацiї виготовлених авто 262823 тис. грн.</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частка експорту в загальному обсязi продажiв;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вiд сезонних змiн;</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(бiльше 5 % у загальнiй сумi виручки);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клiєнтом є ТОВ "Єврокар".</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ринки збуту та країни, в яких особою здiйснюється дiяльнiсть;</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Ринком збуту є внутрiшнiй ринок України.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канали збуту;</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Продукцiя пiдприємства реалiзується через ТОВ "Єврокар", який здiйснює роздрiбну торгiвлю новими автомобiлями марки Skoda через мережу дилерських пiдприємств на територiї України та органiзовує їх сервiсне обслуговуваня.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комплектуючi, матерiали, сировина для виробництва автомобiлiв закуповуються у SkodaAuto a.s.</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в якiй здiйснює дiяльнiсть особа;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Автомобiльна галузь є надзвичайно складним технологiчно виробничим процесом. Свiтова еко-номiчна криза призвела до рiзкого падiння автомобiльного ринку України, яке матерiалiзувалося в значному зменшеннi показникiв виробництва, через що українськi виробники були вимушенi зна-чно скоротити </w:t>
      </w:r>
      <w:r>
        <w:rPr>
          <w:rFonts w:ascii="Times New Roman CYR" w:hAnsi="Times New Roman CYR" w:cs="Times New Roman CYR"/>
          <w:sz w:val="24"/>
          <w:szCs w:val="24"/>
        </w:rPr>
        <w:lastRenderedPageBreak/>
        <w:t>чисельнiсть працiвникiв.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технологiй, якi використовує особа у своїй дiяльностi;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Технологiчне обладнання на пiдприємствi дозволяє забезпечити повний технологiчний процес CKD виробництва автомобiлiв (зварювання кузовiв, фарбування, збирання), вiдповiдає українським та європейським нормам, забезпечує високу ступiнь екологiчної чистоти процесiв та економiю енергоресурсiв.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Товариство використовує технологiю крупновузлового виробництва автомобiлiв SKD, на наявному технологiчному обладнаннi.</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ринку, на якому вона здiйснює дiяльнiсть;</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Становище товариства на ринку стабiльне.</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конкуренцiя в галузi, основнi конкуренти особи;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вiдрiзняється високою конкуренцiєю i представлена практично всiма свiтовими марками. У класi В конкурентами моделi Skoda Fabia є автомобiлi марок Chevrolet Aveo, Renault Logan, Hyundai Accent, Hyundai Gets. У класi C конкурентами моделi Skoda Octavia є ав-томобiлi марок Toyota Corolla, Hyundai Elantra. У класi E конкурентами моделi Skoda Superb є автомобiлi марок Toyota Camry, Hyundai Sonata, VW Passat. У класi SUV конкурентами моделi Skoda Karoq є автомобiлi марок Nissan Qashqai, Toyota RAV4, VW Tiguan, Skoda Kodiaq - Nissan X-Trail.</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споживачiв.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ризикiв, як притаманнi дiяльностi особи, пiдходи до управлiння ризиками, заходи особи щодо зменшення впливу ризикiв;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державна митна полiтика. Ризики експлуатацiйного перiоду (збiльшення витрат на функцiонування об'єкту, неплатоспроможнiсть партнерiв, криза збуту продукцiї та iн.).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здiйсненнi внутрiшнього контролю використовуються рiзнi методи, вони включають в себе такi елементи, як: Управлiння фiнансовими  ризиками: дiяльнiсть товариства пiддається впливу безлiчi фiнансових ризикiв, включаючи ефект вiд змiни ринкових цiн, коливань валютних курсiв.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веде полiтику, спрямовану на попередження й зменшення впливу таких ризикiв. Управлiння ризиками здiйснюється адмiнiстрацiєю товариства.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Управлiння кредитними ризиками: фiнансовi iнструменти, якi потенцiйно пiддаються впливу кредитного ризику, в основному представленi торговою дебiторською заборгованiстю та грошовими коштами та еквiвалентами. Управлiння ризиком лiквiдностi: для управлiння ризиком лiквiдностi керiвництво товариства проводить полiтику управлiння активами й зобов'язаннями, спрямовану на недопущення </w:t>
      </w:r>
      <w:r>
        <w:rPr>
          <w:rFonts w:ascii="Times New Roman CYR" w:hAnsi="Times New Roman CYR" w:cs="Times New Roman CYR"/>
          <w:sz w:val="24"/>
          <w:szCs w:val="24"/>
        </w:rPr>
        <w:lastRenderedPageBreak/>
        <w:t xml:space="preserve">розривiв у строках платежiв, що виражається в здатностi мобiлiзацiї лiквiдних активiв для погашення поточних зобов'язань.Управлiння ризиками має на метi забезпечення належного функцiонування внутрiшнiх процедур та полiтики, що спрямованi на мiнiмiзацiю цих ризикiв.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продовжити випуск автомобiлiв марки Skoda моделi Karoq та планує iмпорт нових моделей.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2020-1 кв. 2025рр. Товариством було придбано активiв на загальну суму 541678,4 тис.грн. За звiтний перiод (1 кв. 2025 року) було придбано активiв на 25605,5 тис. грн. Пiдприємство не планує будь-якi значнi iнвестицiї або придбання, пов'язанi з його господарською дiяльнiстю.</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знаходяться за адресою Закарпатська область, Ужгородський район, с. Соломоново, вул. Перемоги, 46. До основних засобiв емiтента вiдноситься: - земельна дiлянки; - виробничий цех; - промислова iнфраструктура (логiстична та iнженерна); - машини та обладнання; - транспортнi засоби; - iнша необоротнi та нематерiальнi активи. Також ПрАТ "Єврокар" орендує у ТОВ "РIК" виробничий комплекс, що складається з: - монтажний цех та АБК; - промислова iнфраструктура (складська, логiстична та iнженерна); - обладнання; у ТОВ "Євромотор" - транс-форматорну пiдстанцiю. ПрАТ "Єврокар" суворо дотримується екологiчних стандартiв. Техно-логiчне обладнання вiдповiдає українським та європейським нормам, забезпечує високу ступiнь екологiчної чистоти процесiв та економiю енергоресурсiв. Отриманi лiмiти на утворення та зберiгання вiдходiв виробництва, отримано дозвiл на викиди забруднюючих речовин в атмосферне повiтря, отримано спецiальний дозвiл на водокористування. Порушень законодавства у сферi охорони навколишнього природного середовища перевiрками не виявлено. Розробленi та впрова-джуються заходи по охоронi навколишнього природного середовища. Максимальнi виробничi потужностi заводу з врахуванням модернiзацiї становлять 50000 тис. авто/рiк. На даний момент виробничi потужностi повнiстю не завантаженi (в т.ч. через кризу), та на кiнець звiтного перiоду використання виробничих потужностей становило 1,81 %. Капiтальне будiвництво не планується. Удосконалення виробничих засобiв не плануються у зв'язку з вiдсутнiстю повної завантаженостi виробничих потужностей.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Ризики, пов'язанi зi змiною полiтичної та економiчної ситуацiї в Українi, ризики експлуатацiйного </w:t>
      </w:r>
      <w:r>
        <w:rPr>
          <w:rFonts w:ascii="Times New Roman CYR" w:hAnsi="Times New Roman CYR" w:cs="Times New Roman CYR"/>
          <w:sz w:val="24"/>
          <w:szCs w:val="24"/>
        </w:rPr>
        <w:lastRenderedPageBreak/>
        <w:t>перiоду (збiльшення цiн на енергоносiї, неплатоспроможнiсть партнерiв, криза збуту продукцiї та iн.). Ступiнь залежностi вiд законодавчих або економiчних обмежень - суттєва.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  825441,0тис. грн.</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звiтного перiоду;</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- 239;</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працiвникiв - 0,</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осiб, якi працюють за сумiсництвом - 33,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чисельнiсть працiвникiв, якi працюють на умовах неповного робочого часу (дня, тижня) - 44,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26941611.36 грн.,</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 змiни розмiру фонду оплати працi, його збiльшення або зменшення вiдносно попереднього звiтного перiоду: у порiвняннi з попереднiм звiтним перiодом фонд оплати працi збiльшився.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пропозицiй;</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яка може бути iстотною для оцiнки стейкхолдерами фiнансового стану та результатiв дiяльностi особи.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https://www.skoda-auto.ua/company/prat-eurocar-info-for-shareholders.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Дотримання послiдовностi викладення iнформацiї частин є обов'язковою. У разi вiдсутностi iнформацiї, особа зазначає про це в описi господарської та фiнансової дiяльностi. Опис господарської та фiнансової дiяльностi викладається стисло i зрозумiло. Обсяг опису господарської та фiнансової дiяльностi не повинен перевищувати чотирнадцять сторiнок формату А4.</w:t>
      </w: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70"/>
        <w:gridCol w:w="2685"/>
        <w:gridCol w:w="1500"/>
        <w:gridCol w:w="1065"/>
        <w:gridCol w:w="3000"/>
        <w:gridCol w:w="1200"/>
      </w:tblGrid>
      <w:tr w:rsidR="0003088B">
        <w:trPr>
          <w:trHeight w:val="200"/>
        </w:trPr>
        <w:tc>
          <w:tcPr>
            <w:tcW w:w="47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3088B">
        <w:trPr>
          <w:trHeight w:val="200"/>
        </w:trPr>
        <w:tc>
          <w:tcPr>
            <w:tcW w:w="47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3088B">
        <w:trPr>
          <w:trHeight w:val="200"/>
        </w:trPr>
        <w:tc>
          <w:tcPr>
            <w:tcW w:w="47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47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 (виключно для потреб власного споживання чи промисловоъ переробки)</w:t>
            </w:r>
          </w:p>
        </w:tc>
        <w:tc>
          <w:tcPr>
            <w:tcW w:w="1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07140414202400114</w:t>
            </w:r>
          </w:p>
        </w:tc>
        <w:tc>
          <w:tcPr>
            <w:tcW w:w="1065"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10.07.2024</w:t>
            </w:r>
          </w:p>
        </w:tc>
        <w:tc>
          <w:tcPr>
            <w:tcW w:w="3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оловне управлiння ДПС у Закарпатськiй областi</w:t>
            </w:r>
          </w:p>
        </w:tc>
        <w:tc>
          <w:tcPr>
            <w:tcW w:w="12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29.07.2029</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3088B">
        <w:trPr>
          <w:trHeight w:val="200"/>
        </w:trPr>
        <w:tc>
          <w:tcPr>
            <w:tcW w:w="3058" w:type="dxa"/>
            <w:vMerge w:val="restart"/>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3088B">
        <w:trPr>
          <w:trHeight w:val="200"/>
        </w:trPr>
        <w:tc>
          <w:tcPr>
            <w:tcW w:w="3058" w:type="dxa"/>
            <w:vMerge/>
            <w:tcBorders>
              <w:top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141 023</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141 023</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87 451</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80 757</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87 451</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80 757</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21 742</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22 251</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21 742</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22 251</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14 315</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14 634</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14 315</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14 634</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17 375</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17 375</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200"/>
        </w:trPr>
        <w:tc>
          <w:tcPr>
            <w:tcW w:w="3058"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141 023</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141 023</w:t>
            </w:r>
          </w:p>
        </w:tc>
        <w:tc>
          <w:tcPr>
            <w:tcW w:w="1082"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r>
      <w:tr w:rsidR="0003088B">
        <w:trPr>
          <w:trHeight w:val="200"/>
        </w:trPr>
        <w:tc>
          <w:tcPr>
            <w:tcW w:w="3058"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засоби використовуються в господарськiй дiяльностi.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Термiни використання основних засобiв: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2 - капiтальнi витрати на полiпшення земель, не пов'язанi з будiвництвом - 180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3 - в т.ч.:</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Будiвлi - 240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Споруди - 180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Передавальнi пристрої - 120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4- в т.ч.:</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Машини та обладнання - 60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Електронно-обчислювальнi машини, iншi: - 24 мiсяцi.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5 - транспортнi засоби - 60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6 - iнструменти, прилади, iнвентар (меблi) - 48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7 - тварини - 72 мiсяцi.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8 - багаторiчнi насадження - 120 мiсяцiв.</w:t>
            </w:r>
            <w:r w:rsidR="008A3DE7">
              <w:rPr>
                <w:rFonts w:ascii="Times New Roman CYR" w:hAnsi="Times New Roman CYR" w:cs="Times New Roman CYR"/>
              </w:rPr>
              <w:t xml:space="preserve"> </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9 - iншi основнi засоби - 144 мiсяцi.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Група 10 - бiблiотечнi фонди.</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11- малоцiннi необоротнi активи.</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12 - тимчасовi (нетитульнi) споруди - 60 мiсяцiв.</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14 - iнвентарна тара - 72 мiсяцi.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15 - предмети прокату - 72 мiсяцi.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16 - довгостроковi бiологiчнi активи - 84 мiсяцi.</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- 1665496  тис. грн.</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- 91,71 %</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- 1527440 тис.грн.</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 заставi перебувають основнi засоби (виробниче обладнання)  застав-ною вартiстю - 1 075 тис. грн., нерухоме майне заставною вартiстю - 17 247 тис. грн. </w:t>
            </w: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 було.</w:t>
            </w:r>
            <w:r w:rsidR="008A3DE7">
              <w:rPr>
                <w:rFonts w:ascii="Times New Roman CYR" w:hAnsi="Times New Roman CYR" w:cs="Times New Roman CYR"/>
              </w:rPr>
              <w:t xml:space="preserve"> </w:t>
            </w:r>
          </w:p>
          <w:p w:rsidR="0003088B" w:rsidRDefault="0003088B">
            <w:pPr>
              <w:widowControl w:val="0"/>
              <w:autoSpaceDE w:val="0"/>
              <w:autoSpaceDN w:val="0"/>
              <w:adjustRightInd w:val="0"/>
              <w:spacing w:after="0" w:line="240" w:lineRule="auto"/>
              <w:jc w:val="both"/>
              <w:rPr>
                <w:rFonts w:ascii="Times New Roman CYR" w:hAnsi="Times New Roman CYR" w:cs="Times New Roman CYR"/>
              </w:rPr>
            </w:pP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3088B">
        <w:trPr>
          <w:trHeight w:val="2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3088B">
        <w:trPr>
          <w:trHeight w:val="2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2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3088B" w:rsidRDefault="0003088B">
            <w:pPr>
              <w:widowControl w:val="0"/>
              <w:autoSpaceDE w:val="0"/>
              <w:autoSpaceDN w:val="0"/>
              <w:adjustRightInd w:val="0"/>
              <w:spacing w:after="0" w:line="240" w:lineRule="auto"/>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200"/>
        </w:trPr>
        <w:tc>
          <w:tcPr>
            <w:tcW w:w="3780" w:type="dxa"/>
            <w:tcBorders>
              <w:top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1 869</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1 139</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Акцизний податок</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396</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 вiдмiнне вiд земельної дiлянки</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iноземних юридичних осiб</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Фінансова допомога на зворотній </w:t>
            </w:r>
            <w:r>
              <w:rPr>
                <w:rFonts w:ascii="Times New Roman CYR" w:hAnsi="Times New Roman CYR" w:cs="Times New Roman CYR"/>
              </w:rPr>
              <w:lastRenderedPageBreak/>
              <w:t>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2 013 931</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131 560</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73 116</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1 324</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3 982</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18 172</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3 517</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майбутнiх перiодiв</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163 574</w:t>
            </w:r>
          </w:p>
        </w:tc>
        <w:tc>
          <w:tcPr>
            <w:tcW w:w="194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300"/>
        </w:trPr>
        <w:tc>
          <w:tcPr>
            <w:tcW w:w="378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2 015 800</w:t>
            </w:r>
          </w:p>
        </w:tc>
        <w:tc>
          <w:tcPr>
            <w:tcW w:w="194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03088B">
      <w:pPr>
        <w:widowControl w:val="0"/>
        <w:autoSpaceDE w:val="0"/>
        <w:autoSpaceDN w:val="0"/>
        <w:adjustRightInd w:val="0"/>
        <w:spacing w:after="0" w:line="240" w:lineRule="auto"/>
        <w:rPr>
          <w:rFonts w:ascii="Times New Roman CYR" w:hAnsi="Times New Roman CYR" w:cs="Times New Roman CYR"/>
        </w:rPr>
        <w:sectPr w:rsidR="0003088B">
          <w:pgSz w:w="12240" w:h="15840"/>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3088B">
        <w:trPr>
          <w:trHeight w:val="200"/>
        </w:trPr>
        <w:tc>
          <w:tcPr>
            <w:tcW w:w="500" w:type="dxa"/>
            <w:vMerge w:val="restart"/>
            <w:tcBorders>
              <w:top w:val="single" w:sz="6" w:space="0" w:color="auto"/>
              <w:bottom w:val="nil"/>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3088B">
        <w:trPr>
          <w:trHeight w:val="200"/>
        </w:trPr>
        <w:tc>
          <w:tcPr>
            <w:tcW w:w="500" w:type="dxa"/>
            <w:vMerge/>
            <w:tcBorders>
              <w:top w:val="nil"/>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3088B">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3088B">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Автомобiлi Skoda</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226 штук</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204471</w:t>
            </w:r>
          </w:p>
        </w:tc>
        <w:tc>
          <w:tcPr>
            <w:tcW w:w="22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275 штук</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262823</w:t>
            </w:r>
          </w:p>
        </w:tc>
        <w:tc>
          <w:tcPr>
            <w:tcW w:w="22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03088B">
      <w:pPr>
        <w:widowControl w:val="0"/>
        <w:autoSpaceDE w:val="0"/>
        <w:autoSpaceDN w:val="0"/>
        <w:adjustRightInd w:val="0"/>
        <w:spacing w:after="0" w:line="240" w:lineRule="auto"/>
        <w:rPr>
          <w:rFonts w:ascii="Times New Roman CYR" w:hAnsi="Times New Roman CYR" w:cs="Times New Roman CYR"/>
        </w:rPr>
        <w:sectPr w:rsidR="0003088B">
          <w:pgSz w:w="16837" w:h="11905" w:orient="landscape"/>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3088B">
        <w:trPr>
          <w:trHeight w:val="300"/>
        </w:trPr>
        <w:tc>
          <w:tcPr>
            <w:tcW w:w="62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3088B">
        <w:trPr>
          <w:trHeight w:val="300"/>
        </w:trPr>
        <w:tc>
          <w:tcPr>
            <w:tcW w:w="62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3088B">
        <w:trPr>
          <w:trHeight w:val="300"/>
        </w:trPr>
        <w:tc>
          <w:tcPr>
            <w:tcW w:w="62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комплектуючi</w:t>
            </w:r>
          </w:p>
        </w:tc>
        <w:tc>
          <w:tcPr>
            <w:tcW w:w="59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систем</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Обслуговує випуск цiнних паперiв Товариства</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62.02 - Консультування з питань iнформатизацiї</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Iнформацiйнi послуги на фондовому ринку з оприлюднення регульованої iнформацiї; Iнформацiйнi послуги з подання звiтностi та/або звiтних даних до НКЦПФР</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"АУДИТ-IНВЕСТ"</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32241880</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49101, Україна, м. Днiпро, вулиця Короленка, будинок 15, iнше примiщення 5</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0634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27.10.2016</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(056) 745-14-05</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77.33 - Надання в оренду офiсних машин i устатковання, у тому числi комп'ютерiв</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85.59 - Iншi види освiти, н.в.i.у.</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"УКРАЇНСЬКА СТРАХОВА ГРУПА"</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30859524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03038, Україна, м. Київ, вулиця Федорова Iвана, будинок 32 ЛIТ.А</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78</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Основні види діяльності із зазначенням їх найменування та </w:t>
            </w:r>
            <w:r>
              <w:rPr>
                <w:rFonts w:ascii="Times New Roman CYR" w:hAnsi="Times New Roman CYR" w:cs="Times New Roman CYR"/>
              </w:rPr>
              <w:lastRenderedPageBreak/>
              <w:t>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65.12 - Iншi види страхування, крiм </w:t>
            </w:r>
            <w:r>
              <w:rPr>
                <w:rFonts w:ascii="Times New Roman CYR" w:hAnsi="Times New Roman CYR" w:cs="Times New Roman CYR"/>
              </w:rPr>
              <w:lastRenderedPageBreak/>
              <w:t>страхування життя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66.21 - Оцiнювання ризикiв та завданої шкоди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"IНГО"</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16285602</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Україна, м. Київ, ВУЛИЦЯ БУЛЬВАРНО-КУДРЯВСЬКА, будинок 33</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ПОЖЕЖНО-СТРАХОВА КОМПАНIЯ"</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20602681</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04080, Україна, м. Київ, ВУЛИЦЯ КИРИЛIВСЬКА, будинок 40</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4636421</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ТОВАРИСТВО"СТРАХОВА КОМПАНIЯ "ПЕРША"</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31681672</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вул.Фiзкультури, будинок 30</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3503501</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03088B">
        <w:trPr>
          <w:trHeight w:val="200"/>
        </w:trPr>
        <w:tc>
          <w:tcPr>
            <w:tcW w:w="60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03088B">
      <w:pPr>
        <w:widowControl w:val="0"/>
        <w:autoSpaceDE w:val="0"/>
        <w:autoSpaceDN w:val="0"/>
        <w:adjustRightInd w:val="0"/>
        <w:spacing w:after="0" w:line="240" w:lineRule="auto"/>
        <w:rPr>
          <w:rFonts w:ascii="Times New Roman CYR" w:hAnsi="Times New Roman CYR" w:cs="Times New Roman CYR"/>
        </w:rPr>
        <w:sectPr w:rsidR="0003088B">
          <w:pgSz w:w="12240" w:h="15840"/>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000"/>
        <w:gridCol w:w="3000"/>
        <w:gridCol w:w="2300"/>
        <w:gridCol w:w="1200"/>
        <w:gridCol w:w="1200"/>
        <w:gridCol w:w="1200"/>
        <w:gridCol w:w="3000"/>
      </w:tblGrid>
      <w:tr w:rsidR="0003088B">
        <w:trPr>
          <w:trHeight w:val="200"/>
        </w:trPr>
        <w:tc>
          <w:tcPr>
            <w:tcW w:w="500" w:type="dxa"/>
            <w:vMerge w:val="restart"/>
            <w:tcBorders>
              <w:top w:val="single" w:sz="6" w:space="0" w:color="auto"/>
              <w:bottom w:val="nil"/>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передано особі</w:t>
            </w:r>
          </w:p>
        </w:tc>
      </w:tr>
      <w:tr w:rsidR="0003088B">
        <w:trPr>
          <w:trHeight w:val="200"/>
        </w:trPr>
        <w:tc>
          <w:tcPr>
            <w:tcW w:w="500" w:type="dxa"/>
            <w:vMerge/>
            <w:tcBorders>
              <w:top w:val="nil"/>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03088B" w:rsidRDefault="0003088B">
            <w:pPr>
              <w:widowControl w:val="0"/>
              <w:autoSpaceDE w:val="0"/>
              <w:autoSpaceDN w:val="0"/>
              <w:adjustRightInd w:val="0"/>
              <w:spacing w:after="0" w:line="240" w:lineRule="auto"/>
              <w:jc w:val="center"/>
              <w:rPr>
                <w:rFonts w:ascii="Times New Roman CYR" w:hAnsi="Times New Roman CYR" w:cs="Times New Roman CYR"/>
              </w:rPr>
            </w:pPr>
          </w:p>
        </w:tc>
      </w:tr>
      <w:tr w:rsidR="0003088B">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3088B">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"РIК"</w:t>
            </w:r>
          </w:p>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89460, Закарпатська область, Ужгородський район, с. Соломоново, вул. Перемоги, 46</w:t>
            </w:r>
          </w:p>
        </w:tc>
        <w:tc>
          <w:tcPr>
            <w:tcW w:w="23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32784477</w:t>
            </w:r>
          </w:p>
        </w:tc>
        <w:tc>
          <w:tcPr>
            <w:tcW w:w="12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12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30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3088B">
        <w:trPr>
          <w:trHeight w:val="200"/>
        </w:trPr>
        <w:tc>
          <w:tcPr>
            <w:tcW w:w="12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3088B">
        <w:trPr>
          <w:trHeight w:val="200"/>
        </w:trPr>
        <w:tc>
          <w:tcPr>
            <w:tcW w:w="12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3088B">
        <w:trPr>
          <w:trHeight w:val="200"/>
        </w:trPr>
        <w:tc>
          <w:tcPr>
            <w:tcW w:w="125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6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7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3088B">
        <w:trPr>
          <w:trHeight w:val="200"/>
        </w:trPr>
        <w:tc>
          <w:tcPr>
            <w:tcW w:w="2600" w:type="dxa"/>
            <w:gridSpan w:val="2"/>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 видiв цiнних паперiв</w:t>
            </w:r>
          </w:p>
          <w:p w:rsidR="0003088B" w:rsidRDefault="0003088B">
            <w:pPr>
              <w:widowControl w:val="0"/>
              <w:autoSpaceDE w:val="0"/>
              <w:autoSpaceDN w:val="0"/>
              <w:adjustRightInd w:val="0"/>
              <w:spacing w:after="0" w:line="240" w:lineRule="auto"/>
              <w:jc w:val="both"/>
              <w:rPr>
                <w:rFonts w:ascii="Times New Roman CYR" w:hAnsi="Times New Roman CYR" w:cs="Times New Roman CYR"/>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2011-ому роцi було змiнено номiнальну вартiсть акцiй на 290,2 грн. Мета випуску акцiй: для оновлення основних фондiв, змiцнення матерiально-технiчної бази та поповнення обiгових коштiв для забезпечення статутної дiяльностi Товариства. Спосiб розмiщення - закрите (приватне). Додаткової емiсiї в звiтному перiодi не було.</w:t>
            </w:r>
          </w:p>
          <w:p w:rsidR="0003088B" w:rsidRDefault="0003088B">
            <w:pPr>
              <w:widowControl w:val="0"/>
              <w:autoSpaceDE w:val="0"/>
              <w:autoSpaceDN w:val="0"/>
              <w:adjustRightInd w:val="0"/>
              <w:spacing w:after="0" w:line="240" w:lineRule="auto"/>
              <w:jc w:val="both"/>
              <w:rPr>
                <w:rFonts w:ascii="Times New Roman CYR" w:hAnsi="Times New Roman CYR" w:cs="Times New Roman CYR"/>
              </w:rPr>
            </w:pPr>
          </w:p>
          <w:p w:rsidR="0003088B" w:rsidRDefault="0003088B">
            <w:pPr>
              <w:widowControl w:val="0"/>
              <w:autoSpaceDE w:val="0"/>
              <w:autoSpaceDN w:val="0"/>
              <w:adjustRightInd w:val="0"/>
              <w:spacing w:after="0" w:line="240" w:lineRule="auto"/>
              <w:jc w:val="both"/>
              <w:rPr>
                <w:rFonts w:ascii="Times New Roman CYR" w:hAnsi="Times New Roman CYR" w:cs="Times New Roman CYR"/>
              </w:rPr>
            </w:pP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rPr>
          <w:rFonts w:ascii="Times New Roman CYR" w:hAnsi="Times New Roman CYR" w:cs="Times New Roman CYR"/>
          <w:b/>
          <w:bCs/>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3088B">
        <w:trPr>
          <w:trHeight w:val="300"/>
        </w:trPr>
        <w:tc>
          <w:tcPr>
            <w:tcW w:w="1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3088B">
        <w:trPr>
          <w:trHeight w:val="300"/>
        </w:trPr>
        <w:tc>
          <w:tcPr>
            <w:tcW w:w="150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3088B">
        <w:trPr>
          <w:trHeight w:val="300"/>
        </w:trPr>
        <w:tc>
          <w:tcPr>
            <w:tcW w:w="15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21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3088B">
        <w:trPr>
          <w:trHeight w:val="300"/>
        </w:trPr>
        <w:tc>
          <w:tcPr>
            <w:tcW w:w="150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обмеження вiдсутнi</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03088B" w:rsidRDefault="0003088B">
      <w:pPr>
        <w:widowControl w:val="0"/>
        <w:autoSpaceDE w:val="0"/>
        <w:autoSpaceDN w:val="0"/>
        <w:adjustRightInd w:val="0"/>
        <w:spacing w:after="0" w:line="240" w:lineRule="auto"/>
        <w:rPr>
          <w:rFonts w:ascii="Times New Roman CYR" w:hAnsi="Times New Roman CYR" w:cs="Times New Roman CYR"/>
        </w:rPr>
        <w:sectPr w:rsidR="0003088B">
          <w:pgSz w:w="16837" w:h="11905" w:orient="landscape"/>
          <w:pgMar w:top="570" w:right="720" w:bottom="570" w:left="720" w:header="708" w:footer="708" w:gutter="0"/>
          <w:cols w:space="720"/>
          <w:noEndnote/>
        </w:sect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Промiжна фiнансова звiтнiсть на основi таксономiї у машинозчитувальному форматi розмiщена за адресою: https://www.skoda-auto.ua/company/interim_statements25  </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файлу (архiву) окремої фiнансової звiтностi станом на 31.03.2025 р.: </w:t>
      </w:r>
      <w:hyperlink r:id="rId7" w:history="1">
        <w:r w:rsidR="008A3DE7" w:rsidRPr="009E2D4A">
          <w:rPr>
            <w:rStyle w:val="a8"/>
            <w:rFonts w:ascii="Times New Roman CYR" w:hAnsi="Times New Roman CYR" w:cs="Times New Roman CYR"/>
            <w:sz w:val="24"/>
            <w:szCs w:val="24"/>
          </w:rPr>
          <w:t>https://www.skoda-auto.ua/_doc/a0e51df7-5625-49cc-b0ef-6e736c8bc468</w:t>
        </w:r>
      </w:hyperlink>
      <w:r>
        <w:rPr>
          <w:rFonts w:ascii="Times New Roman CYR" w:hAnsi="Times New Roman CYR" w:cs="Times New Roman CYR"/>
          <w:sz w:val="24"/>
          <w:szCs w:val="24"/>
        </w:rPr>
        <w:t xml:space="preserve"> </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(архiву) 1q2025_30913130 _ окрема.zip</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48 KБ (50132 байтiв)</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 acddbb3b733119e11d8bb2b835bfe17d3869bb02687ad743cb2dccfd46d19c6a</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файлу (архiву) консолiдованої фiнансової звiтностi станом на 31.03.2025 р.:  </w:t>
      </w:r>
      <w:hyperlink r:id="rId8" w:history="1">
        <w:r w:rsidR="008A3DE7" w:rsidRPr="009E2D4A">
          <w:rPr>
            <w:rStyle w:val="a8"/>
            <w:rFonts w:ascii="Times New Roman CYR" w:hAnsi="Times New Roman CYR" w:cs="Times New Roman CYR"/>
            <w:sz w:val="24"/>
            <w:szCs w:val="24"/>
          </w:rPr>
          <w:t>https://www.skoda-auto.ua/_doc/857eeb85-3837-4ab8-875f-e917ddd4c08a</w:t>
        </w:r>
      </w:hyperlink>
      <w:r>
        <w:rPr>
          <w:rFonts w:ascii="Times New Roman CYR" w:hAnsi="Times New Roman CYR" w:cs="Times New Roman CYR"/>
          <w:sz w:val="24"/>
          <w:szCs w:val="24"/>
        </w:rPr>
        <w:t xml:space="preserve"> </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(архiву) 1q2025_30913130 - консолiдована.zip</w:t>
      </w:r>
    </w:p>
    <w:p w:rsidR="008A3DE7"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49 KБ (50853 байтiв)</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9bc4aa4b553bfd7e011499ff013a88000ed39cee9f2f54fe1010f13ed0caacca </w:t>
      </w:r>
    </w:p>
    <w:p w:rsidR="0003088B" w:rsidRDefault="0003088B">
      <w:pPr>
        <w:widowControl w:val="0"/>
        <w:autoSpaceDE w:val="0"/>
        <w:autoSpaceDN w:val="0"/>
        <w:adjustRightInd w:val="0"/>
        <w:spacing w:after="0" w:line="240" w:lineRule="auto"/>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Офiцiйна позицiя осiб, якi здiйснюють управлiнськi функцiї, про те, що, наскiльки це їм вiдомо, промiжна фiнансова звiтнiсть та промiжна консолiдована фiнансова звiтнiсть, складена вiдповiдно до Мiжнародних стандартiв бухгалтерського облiку, що вимагаються згiдно iз Законом України "Про бухгалтерський облiк та фiнансову звiтнiсть", мiстить достовiрну та об'єктивну iнформацiю про стан активiв, пасивiв, фiнансовий стан, прибутки та збитки емiтента, а також про те, що промiжний звiт керiвництва, що подається вiдповiдно до частини четвертої статтi 127 Закону України "Про ринки капiталу та органiзованi товарнi ринки", мiстить достовiрну та об'єктивну iнформацiю.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Значні правочини та правочини із заінтересованістю</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03088B">
        <w:trPr>
          <w:trHeight w:val="3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URL-адреса власного вебсайту особи, на якій розміщена інформація про прийняття рішення щодо вчинення значних правочинів</w:t>
            </w:r>
          </w:p>
        </w:tc>
      </w:tr>
      <w:tr w:rsidR="0003088B">
        <w:trPr>
          <w:trHeight w:val="300"/>
        </w:trPr>
        <w:tc>
          <w:tcPr>
            <w:tcW w:w="550" w:type="dxa"/>
            <w:tcBorders>
              <w:top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3088B">
        <w:trPr>
          <w:trHeight w:val="300"/>
        </w:trPr>
        <w:tc>
          <w:tcPr>
            <w:tcW w:w="55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27.03.2025</w:t>
            </w:r>
          </w:p>
        </w:tc>
        <w:tc>
          <w:tcPr>
            <w:tcW w:w="785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https://www.skoda-auto.ua/company/emitent-infoЗначний правочин був вчинений у 1 кварталi 2025 року на пiдставi прийнятого загальними зборами акцiонерiв 07.05.2024 р. рiшення про попереднє надання згоди на вчинення значних правочинiв.</w:t>
            </w:r>
          </w:p>
        </w:tc>
      </w:tr>
      <w:tr w:rsidR="0003088B">
        <w:trPr>
          <w:trHeight w:val="300"/>
        </w:trPr>
        <w:tc>
          <w:tcPr>
            <w:tcW w:w="550" w:type="dxa"/>
            <w:tcBorders>
              <w:top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27.03.2025</w:t>
            </w:r>
          </w:p>
        </w:tc>
        <w:tc>
          <w:tcPr>
            <w:tcW w:w="7850" w:type="dxa"/>
            <w:tcBorders>
              <w:top w:val="single" w:sz="6" w:space="0" w:color="auto"/>
              <w:left w:val="single" w:sz="6" w:space="0" w:color="auto"/>
              <w:bottom w:val="single" w:sz="6" w:space="0" w:color="auto"/>
            </w:tcBorders>
          </w:tcPr>
          <w:p w:rsidR="0003088B" w:rsidRDefault="002970C4">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https://www.skoda-auto.ua/company/emitent-infoЗначний правочин був вчинений у 1 кварталi 2025 року на пiдставi прийнятого загальними зборами акцiонерiв 07.05.2024 р. рiшення про попереднє надання згоди на вчинення значних правочинiв.</w:t>
            </w:r>
          </w:p>
        </w:tc>
      </w:tr>
    </w:tbl>
    <w:p w:rsidR="0003088B" w:rsidRDefault="0003088B">
      <w:pPr>
        <w:widowControl w:val="0"/>
        <w:autoSpaceDE w:val="0"/>
        <w:autoSpaceDN w:val="0"/>
        <w:adjustRightInd w:val="0"/>
        <w:spacing w:after="0" w:line="240" w:lineRule="auto"/>
        <w:rPr>
          <w:rFonts w:ascii="Times New Roman CYR" w:hAnsi="Times New Roman CYR" w:cs="Times New Roman CYR"/>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8A3DE7" w:rsidRDefault="008A3DE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3088B" w:rsidRDefault="002970C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3088B" w:rsidRDefault="002970C4">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Важливих для Товариства подiй впродовж звiтного перiоду не вiдбувалося, вiдповiдно, їх вплив на промiжну фiнансову звiтнiсть Товариства вiдсутнiй.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такi елементи, як:</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процесi управлiння Товариством.</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 мiнiмiзацiя або мiнiмiзацiя їхнiх наслiдкiв.  Фiнансовi ри-зики постiйно виникають в процесi звичайної дiяльностi Товариства.</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впливу наступних ризикiв:</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ринковий ризик: змiни на ринку можуть iстотно вплинути на активи/зобов'язання;</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ризик втрати лiквiдностi: товариство може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кредитний ризик: товариство може зазнати збиткiв у разi невиконання фiнансових зобов'язань контрагентами (дебiторами).</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03088B" w:rsidRDefault="002970C4">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Служби з внутрiшнього контролю та управлiння ризиками в Товариствi не створено. Керiвництво приймає рiшення з мiнiмiзацiї ризикiв, спираючись на власнi знання та досвiд, та застосовуючи наявнi ресурси.  </w:t>
      </w:r>
    </w:p>
    <w:p w:rsidR="0003088B" w:rsidRDefault="0003088B">
      <w:pPr>
        <w:widowControl w:val="0"/>
        <w:autoSpaceDE w:val="0"/>
        <w:autoSpaceDN w:val="0"/>
        <w:adjustRightInd w:val="0"/>
        <w:spacing w:after="0" w:line="240" w:lineRule="auto"/>
        <w:jc w:val="both"/>
        <w:rPr>
          <w:rFonts w:ascii="Times New Roman CYR" w:hAnsi="Times New Roman CYR" w:cs="Times New Roman CYR"/>
          <w:sz w:val="24"/>
          <w:szCs w:val="24"/>
        </w:rPr>
      </w:pPr>
    </w:p>
    <w:p w:rsidR="002970C4" w:rsidRDefault="002970C4">
      <w:pPr>
        <w:widowControl w:val="0"/>
        <w:autoSpaceDE w:val="0"/>
        <w:autoSpaceDN w:val="0"/>
        <w:adjustRightInd w:val="0"/>
        <w:spacing w:after="0" w:line="240" w:lineRule="auto"/>
        <w:rPr>
          <w:rFonts w:ascii="Times New Roman CYR" w:hAnsi="Times New Roman CYR" w:cs="Times New Roman CYR"/>
          <w:sz w:val="24"/>
          <w:szCs w:val="24"/>
        </w:rPr>
      </w:pPr>
    </w:p>
    <w:sectPr w:rsidR="002970C4" w:rsidSect="0003088B">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FB6" w:rsidRDefault="00124FB6" w:rsidP="008A3DE7">
      <w:pPr>
        <w:spacing w:after="0" w:line="240" w:lineRule="auto"/>
      </w:pPr>
      <w:r>
        <w:separator/>
      </w:r>
    </w:p>
  </w:endnote>
  <w:endnote w:type="continuationSeparator" w:id="0">
    <w:p w:rsidR="00124FB6" w:rsidRDefault="00124FB6" w:rsidP="008A3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FB6" w:rsidRDefault="00124FB6" w:rsidP="008A3DE7">
      <w:pPr>
        <w:spacing w:after="0" w:line="240" w:lineRule="auto"/>
      </w:pPr>
      <w:r>
        <w:separator/>
      </w:r>
    </w:p>
  </w:footnote>
  <w:footnote w:type="continuationSeparator" w:id="0">
    <w:p w:rsidR="00124FB6" w:rsidRDefault="00124FB6" w:rsidP="008A3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DE7" w:rsidRDefault="0003088B">
    <w:pPr>
      <w:pStyle w:val="a3"/>
      <w:jc w:val="center"/>
    </w:pPr>
    <w:fldSimple w:instr=" PAGE   \* MERGEFORMAT ">
      <w:r w:rsidR="00A64890">
        <w:rPr>
          <w:noProof/>
        </w:rPr>
        <w:t>10</w:t>
      </w:r>
    </w:fldSimple>
  </w:p>
  <w:p w:rsidR="008A3DE7" w:rsidRDefault="008A3DE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3DE7"/>
    <w:rsid w:val="0003088B"/>
    <w:rsid w:val="00124FB6"/>
    <w:rsid w:val="002970C4"/>
    <w:rsid w:val="008A3DE7"/>
    <w:rsid w:val="00A6489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8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3DE7"/>
    <w:pPr>
      <w:tabs>
        <w:tab w:val="center" w:pos="4819"/>
        <w:tab w:val="right" w:pos="9639"/>
      </w:tabs>
    </w:pPr>
  </w:style>
  <w:style w:type="character" w:customStyle="1" w:styleId="a4">
    <w:name w:val="Верхний колонтитул Знак"/>
    <w:basedOn w:val="a0"/>
    <w:link w:val="a3"/>
    <w:uiPriority w:val="99"/>
    <w:rsid w:val="008A3DE7"/>
  </w:style>
  <w:style w:type="paragraph" w:styleId="a5">
    <w:name w:val="footer"/>
    <w:basedOn w:val="a"/>
    <w:link w:val="a6"/>
    <w:uiPriority w:val="99"/>
    <w:semiHidden/>
    <w:unhideWhenUsed/>
    <w:rsid w:val="008A3DE7"/>
    <w:pPr>
      <w:tabs>
        <w:tab w:val="center" w:pos="4819"/>
        <w:tab w:val="right" w:pos="9639"/>
      </w:tabs>
    </w:pPr>
  </w:style>
  <w:style w:type="character" w:customStyle="1" w:styleId="a6">
    <w:name w:val="Нижний колонтитул Знак"/>
    <w:basedOn w:val="a0"/>
    <w:link w:val="a5"/>
    <w:uiPriority w:val="99"/>
    <w:semiHidden/>
    <w:rsid w:val="008A3DE7"/>
  </w:style>
  <w:style w:type="table" w:styleId="a7">
    <w:name w:val="Table Grid"/>
    <w:basedOn w:val="a1"/>
    <w:uiPriority w:val="59"/>
    <w:rsid w:val="008A3D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8A3D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koda-auto.ua/_doc/857eeb85-3837-4ab8-875f-e917ddd4c08a" TargetMode="External"/><Relationship Id="rId3" Type="http://schemas.openxmlformats.org/officeDocument/2006/relationships/webSettings" Target="webSettings.xml"/><Relationship Id="rId7" Type="http://schemas.openxmlformats.org/officeDocument/2006/relationships/hyperlink" Target="https://www.skoda-auto.ua/_doc/a0e51df7-5625-49cc-b0ef-6e736c8bc46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29304</Words>
  <Characters>16704</Characters>
  <Application>Microsoft Office Word</Application>
  <DocSecurity>0</DocSecurity>
  <Lines>139</Lines>
  <Paragraphs>91</Paragraphs>
  <ScaleCrop>false</ScaleCrop>
  <Company/>
  <LinksUpToDate>false</LinksUpToDate>
  <CharactersWithSpaces>45917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2025-10-30T12:27:00Z</dcterms:created>
  <dcterms:modified xsi:type="dcterms:W3CDTF">2025-10-30T14:44:00Z</dcterms:modified>
</cp:coreProperties>
</file>