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5D9" w:rsidRDefault="00D275D9">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D275D9" w:rsidRPr="00D275D9">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30.10.2025</w:t>
            </w:r>
          </w:p>
        </w:tc>
      </w:tr>
      <w:tr w:rsidR="00D275D9" w:rsidRPr="00D275D9">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(дата реєстрації особою електронного документа)</w:t>
            </w:r>
          </w:p>
        </w:tc>
      </w:tr>
      <w:tr w:rsidR="00D275D9" w:rsidRPr="00D275D9">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374</w:t>
            </w:r>
          </w:p>
        </w:tc>
      </w:tr>
      <w:tr w:rsidR="00D275D9" w:rsidRPr="00D275D9">
        <w:tblPrEx>
          <w:tblCellMar>
            <w:top w:w="0" w:type="dxa"/>
            <w:bottom w:w="0" w:type="dxa"/>
          </w:tblCellMar>
        </w:tblPrEx>
        <w:trPr>
          <w:trHeight w:val="300"/>
        </w:trPr>
        <w:tc>
          <w:tcPr>
            <w:tcW w:w="5230" w:type="dxa"/>
            <w:tcBorders>
              <w:top w:val="nil"/>
              <w:left w:val="nil"/>
              <w:bottom w:val="nil"/>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(вихідний реєстраційний номер електронного документа)</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D275D9" w:rsidRPr="00D275D9">
        <w:tblPrEx>
          <w:tblCellMar>
            <w:top w:w="0" w:type="dxa"/>
            <w:bottom w:w="0" w:type="dxa"/>
          </w:tblCellMar>
        </w:tblPrEx>
        <w:trPr>
          <w:trHeight w:val="300"/>
        </w:trPr>
        <w:tc>
          <w:tcPr>
            <w:tcW w:w="10465" w:type="dxa"/>
            <w:tcBorders>
              <w:top w:val="nil"/>
              <w:left w:val="nil"/>
              <w:bottom w:val="nil"/>
              <w:right w:val="nil"/>
            </w:tcBorders>
            <w:vAlign w:val="bottom"/>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D275D9" w:rsidRPr="00D275D9">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Голова комiсiї з прпинення</w:t>
            </w:r>
          </w:p>
        </w:tc>
        <w:tc>
          <w:tcPr>
            <w:tcW w:w="216" w:type="dxa"/>
            <w:tcBorders>
              <w:top w:val="nil"/>
              <w:left w:val="nil"/>
              <w:bottom w:val="nil"/>
              <w:right w:val="nil"/>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334" w:type="dxa"/>
            <w:tcBorders>
              <w:top w:val="nil"/>
              <w:left w:val="nil"/>
              <w:bottom w:val="single" w:sz="6" w:space="0" w:color="auto"/>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216" w:type="dxa"/>
            <w:tcBorders>
              <w:top w:val="nil"/>
              <w:left w:val="nil"/>
              <w:bottom w:val="nil"/>
              <w:right w:val="nil"/>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284" w:type="dxa"/>
            <w:tcBorders>
              <w:top w:val="nil"/>
              <w:left w:val="nil"/>
              <w:bottom w:val="single" w:sz="6" w:space="0" w:color="auto"/>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Боярин О.П.</w:t>
            </w:r>
          </w:p>
        </w:tc>
      </w:tr>
      <w:tr w:rsidR="00D275D9" w:rsidRPr="00D275D9">
        <w:tblPrEx>
          <w:tblCellMar>
            <w:top w:w="0" w:type="dxa"/>
            <w:bottom w:w="0" w:type="dxa"/>
          </w:tblCellMar>
        </w:tblPrEx>
        <w:trPr>
          <w:trHeight w:val="200"/>
        </w:trPr>
        <w:tc>
          <w:tcPr>
            <w:tcW w:w="3415" w:type="dxa"/>
            <w:tcBorders>
              <w:top w:val="nil"/>
              <w:left w:val="nil"/>
              <w:bottom w:val="nil"/>
              <w:right w:val="nil"/>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(посада)</w:t>
            </w:r>
          </w:p>
        </w:tc>
        <w:tc>
          <w:tcPr>
            <w:tcW w:w="216" w:type="dxa"/>
            <w:tcBorders>
              <w:top w:val="nil"/>
              <w:left w:val="nil"/>
              <w:bottom w:val="nil"/>
              <w:right w:val="nil"/>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334" w:type="dxa"/>
            <w:tcBorders>
              <w:top w:val="nil"/>
              <w:left w:val="nil"/>
              <w:bottom w:val="nil"/>
              <w:right w:val="nil"/>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3284" w:type="dxa"/>
            <w:tcBorders>
              <w:top w:val="nil"/>
              <w:left w:val="nil"/>
              <w:bottom w:val="nil"/>
              <w:right w:val="nil"/>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(прізвище та ініціали керівника або уповноваженої особи)</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0"/>
          <w:szCs w:val="20"/>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"Єврокар" (30913130)</w:t>
      </w: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2024 рік</w:t>
      </w: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наглядової ради емітента від 29.03.2024, Протокол Наглядової ради №03</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5165"/>
        <w:gridCol w:w="1885"/>
      </w:tblGrid>
      <w:tr w:rsidR="00D275D9" w:rsidRPr="00D275D9">
        <w:tblPrEx>
          <w:tblCellMar>
            <w:top w:w="0" w:type="dxa"/>
            <w:bottom w:w="0" w:type="dxa"/>
          </w:tblCellMar>
        </w:tblPrEx>
        <w:trPr>
          <w:trHeight w:val="300"/>
        </w:trPr>
        <w:tc>
          <w:tcPr>
            <w:tcW w:w="3415" w:type="dxa"/>
            <w:vMerge w:val="restart"/>
            <w:tcBorders>
              <w:top w:val="nil"/>
              <w:left w:val="nil"/>
              <w:bottom w:val="nil"/>
              <w:right w:val="nil"/>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https://www.skoda-auto.ua/company/skoda-solomonovo</w:t>
            </w:r>
          </w:p>
        </w:tc>
        <w:tc>
          <w:tcPr>
            <w:tcW w:w="1885" w:type="dxa"/>
            <w:tcBorders>
              <w:top w:val="nil"/>
              <w:left w:val="nil"/>
              <w:bottom w:val="single" w:sz="6" w:space="0" w:color="auto"/>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30.10.2025</w:t>
            </w:r>
          </w:p>
        </w:tc>
      </w:tr>
      <w:tr w:rsidR="00D275D9" w:rsidRPr="00D275D9">
        <w:tblPrEx>
          <w:tblCellMar>
            <w:top w:w="0" w:type="dxa"/>
            <w:bottom w:w="0" w:type="dxa"/>
          </w:tblCellMar>
        </w:tblPrEx>
        <w:trPr>
          <w:trHeight w:val="300"/>
        </w:trPr>
        <w:tc>
          <w:tcPr>
            <w:tcW w:w="3415" w:type="dxa"/>
            <w:vMerge/>
            <w:tcBorders>
              <w:top w:val="nil"/>
              <w:left w:val="nil"/>
              <w:bottom w:val="nil"/>
              <w:right w:val="nil"/>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0"/>
                <w:szCs w:val="20"/>
              </w:rPr>
            </w:pPr>
          </w:p>
        </w:tc>
        <w:tc>
          <w:tcPr>
            <w:tcW w:w="5165" w:type="dxa"/>
            <w:tcBorders>
              <w:top w:val="nil"/>
              <w:left w:val="nil"/>
              <w:bottom w:val="nil"/>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(URL-адреса вебсайту)</w:t>
            </w:r>
          </w:p>
        </w:tc>
        <w:tc>
          <w:tcPr>
            <w:tcW w:w="1885" w:type="dxa"/>
            <w:tcBorders>
              <w:top w:val="nil"/>
              <w:left w:val="nil"/>
              <w:bottom w:val="nil"/>
              <w:right w:val="nil"/>
            </w:tcBorders>
            <w:vAlign w:val="bottom"/>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(дата)</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0"/>
          <w:szCs w:val="20"/>
        </w:rPr>
        <w:sectPr w:rsidR="00D275D9">
          <w:headerReference w:type="default" r:id="rId6"/>
          <w:pgSz w:w="12240" w:h="15840"/>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не надається, тому що Товариства не визначає рейтингової оцiнки емiтента або цiнних паперiв вiдповiдно до ст. 4-1 Закону України "Про державне регулювання ринкiв капiталу та органiзованих товарних ринкiв".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початок звiтного року, стороною в яких виступає Товариство.</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є двi фiзичнi особи: Боярин Олег Петрович, Царенко Iгор Анатолiйович.</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власникiв пакетiв 5 i бiльше вiдсоткiв акцiй вiдповiдно до вимог пункту 8частини 3 статтi 126 Закону України "Про ринки капiталу та органiзованi товарнi ринки", така iнформацiя наводиться нижче:</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Товариство з обмеженою вiдповiдальнiстю "ПРОСТIР КАПIТАЛ", кiлькiсть акцiй - 161 596 штук, що становить 20,0000% статутного капiталу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Товариство з обмеженою вiдповiдальнiстю "АТОЛЛ ХОЛДIНГ" - 556 223 штук, що становить 68,8412% статутного капiталу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Акцiонерне товариство "IБЕРIЯ МОТОР КОМПАНI" - 80 798 штук, що становить 10,0000% статутного капiталу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тому що у звiтному перiодi корпоративний секретар не призначався.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особи не надається, оскiльки посадовi особи не володiють акцiями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тому що Товариство не має фiлiалiв або iнших вiдокремлених пiдроздiлiв.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прав на акцiї (змiну акцiонерiв, яким належать голосуючi акцiї, розмiр пакета яких стає бiльшим, меншим або рiвним пороговому значенню пакета акцiй; змiну осiб, яким належить право голосу за акцiями, сумарна кiлькiсть прав за якими стає бiльшою, меншою або рiвною пороговому значенню пакета акцiй; змiну осiб, якi є власниками фiнансових iнструментiв, пов'язаних з голосуючими акцiями акцiонерного товариства, у разi, якщо сумарна кiлькiсть прав за такими акцiями стає бiльшою, меншою або рiвною пороговому значенню пакета акцiй) не надається, тому що таких змiн не було.</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облiгацiї не надається, тому що Товариство не випускало облiгацiй.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тому що Товариство не випускало забезпечених боргових цiнних паперiв.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тому що Товариство не придбавало власних акцiй протягом звiтного перiоду.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Товариство не випускало iнших цiнних паперiв.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акцiй у розмiрi понад 0,1% розмiру статутного капiталу не надається, оскiльки таких осiб немає.</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обмежень за акцiями немає.</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такi обмеження вiдсутнi.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рiвним пороговому значенню пакета акцiй не надається, тому що таких змiн у звiтному перiодi не було.</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осiб, яким належить право голосу за акцiями, сумарна кiлькiсть прав за якими стає бiльшою, меншою або рiвною пороговому значенню пакета акцiй не надається, тому що таких змiн у звiтному перiодi не було.</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не надається, тому що власники фiнансових iнструментiв вiдсутнi.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Iнформацiя про вчинення правочинiв, щодо вчинення яких є заiнтересованiсть не надається, тому що такi правочини не вчинялися.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платежi на користь держави не надається, тому що згiдно iз ст. 1 Закону України "Про бухгалтерський облiк та фiнансову звiтнiсть в Українi" Товариство не готує даний звiт.</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w:t>
      </w:r>
      <w:r>
        <w:rPr>
          <w:rFonts w:ascii="Times New Roman CYR" w:hAnsi="Times New Roman CYR" w:cs="Times New Roman CYR"/>
          <w:sz w:val="24"/>
          <w:szCs w:val="24"/>
        </w:rPr>
        <w:lastRenderedPageBreak/>
        <w:t>НКЦПФР вiд 06.06.2023 № 608 не передбачено пункти, в яких потрiбно розкрити iнформацiю визначену пунктами 1, 2, 8, 9 ч. 3 ст. 127 Закону України "Про ринки капiталу та органiзованi товарнi ринки" така iнформацiя наводиться нижче:</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власний кодекс корпоративного управлiння не надається, тому що Товариство не має власного кодексу корпоративного управлiння.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кодекс корпоративного управлiння оператора органiзованого ринку капiталу, об'єднання юридичних осiб та/або кодекс корпоративного управлiння, затверджений НКЦПФР та iнший кодекс корпоративного управлiння (за наявностi), який емiтент добровiльно вирiшив застосовувати, включаючи посилання на текст вiдповiдного кодексу у публiчному доступi не надається, тому що Товариство не застосовує кодекси корпоративного управлiння.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вiдхилень вiд положень кодексу корпоративного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Порядок призначення та звiльнення посадових осiб емiтента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Генеральний директор обирається та вiдкликається за рiшенням Наглядової ради Товариства. Строк, на який обирається Генеральний директор встановлюється Наглядовою радою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Члени Наглядової ради Товариства обираються акцiонерами пiд час проведення Загальних зборiв Товариства строком на три роки. Членом Наглядової ради товариства може бути лише фiзична особа. До складу Наглядової ради обираються акцiонери або особи, якi представляють їхнi iнтереси (далi - "представники акцiонерiв"), та/або незалежнi директори.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члена Наглядової ради дiйснi з моменту набрання чинностi рiшенням Загальних зборiв про його обрання. Акцiонер (акцiонери), представник якого (яких) обраний членом Наглядової ради, може обмежити повноваження свого представника як члена Наглядової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Обрання членiв Наглядової ради Товариства здiйснюється Загальними зборами простою бiльшiстю голосiв акцiонерiв, якi зареєструвалися для участi у Загальних зборах. Кiлькiсть представникiв акцiонера у складi Наглядової ради не обмежується.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обранi членами Наглядової ради, можуть переобиратися необмежену кiлькiсть разiв.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 Наглядової ради не може бути одночасно Генеральним директором та/або Корпоративним секретарем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складається з п'яти членiв. До складу Наглядової ради входять голова, заступник голови та члени Наглядової ради. Секретарем Наглядової ради є корпоративний секретар.</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та заступник голови Наглядової ради обираються членами Наглядової ради з їх числа простою бiльшiстю голосiв вiд кiлькiсного складу Наглядової ради, обраної Загальними зборами, на першому пiсля обрання засiданнi. У разi, коли повноваження голови та/або заступника голови Наглядової ради припиняються достроково, Наглядова рада повинна обрати Голову та/або заступника голови Наглядової ради на першому засiданнi пiсля дати такого припинення. Наглядова рада має право в будь-який час переобрати голову та/або заступника голови Наглядової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Головою Наглядової ради Товариства не може бути обрано члена Наглядової ради, який протягом попереднього року був Генеральним директором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Загальнi збори можуть прийняти рiшення про дострокове припинення повноважень членiв Наглядової ради та одночасне обрання нових членiв. Без рiшення Загальних зборiв повноваження члена Наглядової ради припиняються у випадках, встановлених законом.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кiлькiсть членiв Наглядової ради, повноваження яких дiйснi, становить менше половини її кiлькiсного складу, обраного вiдповiдно до вимог закону Загальними зборами Товариства, Товариство протягом трьох мiсяцiв має скликати Загальнi збори для обрання решти членiв Наглядової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посадових осiб емiтента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До компетенцiї Генерального директора належить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 зокрема, але не обмежуючись цим: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поточних планiв дiяльностi Товариства та заходiв, необхiдних для їх виконання;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забезпечення пiдготовки та подання Загальним зборам акцiонерiв рiчної фiнансової звiтностi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подання Наглядовiй радi Товариства не рiдше одного разу на мiсяць звiту про основнi показники фiнансово-господарської дiяльностi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представлення iнтересiв Товариства перед третiми особами;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подання Наглядовiй радi Товариства пропозицiї з питань стратегiчного розвитку Товариства та змiни щодо видiв дiяльностi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штатного розкладу та розмiрiв посадових окладiв працiвникiв Товариства, його дочiрнiх пiдприємств, фiлiй, представництв в межах затвердженого Наглядовою радою бюджету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вчинення без згоди Наглядової ради будь-яких правочинiв вiд iменi Товариства вартiстю, що не перевищує 1 000 000 (один мiльйон) євро за однiєю угодою (або еквiвалент зазначеної суми в iншiй валютi, в тому числi в нацiональнiй валютi України за курсом Нацiонального банку України, встановленим на день пiдписання угоди);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вчинення без згоди Наглядової ради будь-яких правочинiв вiд iменi Товариства без обмеження по вартостi всiх видiв правочинiв, якi безпосередньо пов'язанi з господарською дiяльнiстю Товариства по придбанню виключно у виробника та реалiзацiї автомобiлiв, комплектуючих та запчастин до них марки ?koda, Volkswagen, Audi, Seat;</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вчинення без згоди Наглядової ради Товариства правочинiв на вiдчуження основних фондiв Товариства на суму, що не перевищує 50 000 (п'ятдесяти тисяч) євро за одним правочином (або еквiвалент зазначеної суми в iншiй валютi, в тому числi в нацiональнiй валютi України за курсом Нацiонального банку України, встановленим на день вчинення правочину);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здiйснення всiх видiв митних платежiв, розрахункiв з бюджетом та державними цiльовими фондами, а також платежiв по iншим зобов'язанням перед державою Україна;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укладання кредитних договорiв, договорiв позики (поворотної та безповоротної фiнансової допомоги), застави, поруки та безоплатного користування майном, уступки вимоги i переводу боргу на пiдставi рiшення Наглядової ради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правил, процедур та iнших внутрiшнiх документiв, що регулюють дiяльнiсть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притягнення до дисциплiнарної вiдповiдальностi працiвникiв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подання на затвердження Наглядовiй радi щорiчного бюджету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затвердження змiн до штатного розкладу та посадових окладiв працiвникiв Товариства (крiм </w:t>
      </w:r>
      <w:r>
        <w:rPr>
          <w:rFonts w:ascii="Times New Roman CYR" w:hAnsi="Times New Roman CYR" w:cs="Times New Roman CYR"/>
          <w:sz w:val="24"/>
          <w:szCs w:val="24"/>
        </w:rPr>
        <w:lastRenderedPageBreak/>
        <w:t>посадових осiб Товариства, керiвникiв його дочiрнiх пiдприємств, фiлiй, представництв) в межах затвердженого рiчного бюджету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здiйснення без отримання дозволу Наглядової ради пожертв та/або надання безповоротної матерiальної допомоги юридичним особам на суму, що не перевищує 5 000 (п'ять тисяч) гривень, фiзичним особам, на суму, що не перевищує 500 (п'ятсот) гривень, працiвникам Товариства - у порядку та розмiрi, визначеному Колективним договором;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на роботу та звiльнення працiвникiв Товариства, пiдвищення по службi працiвникiв Товариства на рiвень керiвних працiвникiв;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змiна розмiру заробiтної плати всiх працiвникiв Товариства, змiни умов iснуючих трудових договорiв, також у випадках, коли такi змiни вимагають повторного укладання трудових договорiв, надання грошових або iнших винагород, якщо вони в окремо взятому випадку не перевищують розмiр мiсячної заробiтної плати;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розробка та подання на затвердження Наглядовiй радi Перелiку ключових спецiалiстiв Товариства, створюваних ним фiлiй та представництв (або надалi за текстом - "Перелiк");</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розробка та подання на затвердження Наглядовiй радi пропозицiй щодо iстотних умов трудових вiдносин з ключовими спецiалiстами Товариства, створюваних ним фiлiй та представництв, якi визначенi в затвердженому Перелiку;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розробка та подання на затвердження Наглядовiй радi пропозицiй щодо прийняття на роботу до Товариства, створюваних ним фiлiй та представництв, осiб на посади ключових спецiалiстiв, визначених згiдно затвердженого Перелiку;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здiйснення iнших дiй, передбачених Статутом, внутрiшнiми нормативними документами Товариства, рiшеннями Загальних зборiв акцiонерiв i Наглядової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на вимогу органiв та посадових осiб Товариства зобов'язаний надати можливiсть ознайомитися з iнформацiєю про дiяльнiсть Товариства в межах, встановлених чинним законодавством України, Статутом та внутрiшнiми положеннями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самостiйно приймає рiшення в межах його компетенцiї шляхом видання наказiв, розпоряджень та iнших актiв або шляхом укладення (пiдписання) договорiв, вчинення iнших правочинiв вiд iменi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Наглядова рада Товариства є колегiальним органом, що здiйснює захист прав акцiонерiв Товариства, i в межах компетенцiї, визначеної чинним законодавством України та Статутом, здiйснює управлiння Товариством, а також контролює та регулює дiяльнiсть Генерального директора.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До компетенцiї Наглядової ради належить вирiшення питань, визначених чинним законодавством України та Статутом.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виключної компетенцiї Наглядової ради належить: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внутрiшнiх положень, якими регулюється дiяльнiсть Товариства, крiм тих, що вiднесенi до виключної компетенцiї Загальних зборiв, та тих, що рiшенням Наглядової ради переданi для затвердження Генеральному директору;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пiдготовка та затвердження проекту порядку денного та порядку денного Загальних зборiв, прийняття рiшення про дату їх проведення та про включення пропозицiй до проекту порядку денного, крiм випадкiв скликання акцiонерами позачергових Загальних зборiв;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форми i тексту бюлетеня для голосування;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проведення рiчних або позачергових Загальних зборiв вiдповiдно до Статуту та у випадках, встановлених законом;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емiсiю Товариством iнших цiнних паперiв, крiм акцiй, на суму, що не перевищує 25% вартостi активiв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викуп розмiщених Товариством iнших, крiм акцiй, цiнних паперiв;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ринкової вартостi майна у випадках, передбачених законом;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обрання та припинення повноважень Генерального директора;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затвердження умов контракту, який укладатиметься з Генеральним директором Товариства, </w:t>
      </w:r>
      <w:r>
        <w:rPr>
          <w:rFonts w:ascii="Times New Roman CYR" w:hAnsi="Times New Roman CYR" w:cs="Times New Roman CYR"/>
          <w:sz w:val="24"/>
          <w:szCs w:val="24"/>
        </w:rPr>
        <w:lastRenderedPageBreak/>
        <w:t>встановлення розмiру його винагороди;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вiдсторонення Генерального директора вiд здiйснення повноважень та обрання особи, яка тимчасово здiйснюватиме повноваження Генерального директора;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обрання та припинення повноважень голови i членiв iнших органiв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призначення i звiльнення керiвника пiдроздiлу внутрiшнього аудиту (внутрiшнього аудитора);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здiйснення контролю за своєчаснiстю надання (оприлюдення) Товариством достовiрної iнформацiї про його дiяльнiсть вiдповiдно до чинного законодавства України, опублiкування Товариством iнформацiї про кодекс корпоративного управлiння, що використовується товариством;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розгляд звiту Генерального директора та затвердження заходiв за результатами його розгляду;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обрання реєстрацiйної комiсiї, крiм випадкiв скликання позачергових Загальних зборiв акцiонерами;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обрання суб'єкта аудиторської дiяльностi, крiм випадкiв надання суб'єктом аудиторської дiяльностi послуг з обов'язкового аудиту фiнансової звiтностi вiдповiдно до вимог Закону України "Про аудит фiнансової звiтностi та аудиторську дiяльнiсть";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узгодження умов договору на надання аудиторських послуг та обрання особи, уповноваженої на пiдписання такого договору з суб'єктом аудиторської дiяльностi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рекомендацiй Загальним зборам за результатами розгляду аудиторського звiту  суб'єкта аудиторської дiяльностi щодо фiнансової звiтностi Товариства для прийняття рiшення щодо нього;</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визначення дати складення перелiку осiб, якi мають право на отримання дивiдендiв, порядку та строкiв виплати дивiдендiв у межах граничного строку, визначеного законом та рiшенням Загальних зборiв, а також способу виплати дивiдендiв;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визначення дати складення перелiку акцiонерiв, якi мають бути повiдомленi про проведення Загальних зборiв та мають право на участь у Загальних зборах;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вирiшення питань про участь Товариства у промислово-фiнансових групах та iнших об'єднаннях;</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вирiшення питань про створення та/або участь в будь-яких юридичних особах, їх реорганiзацiю та лiквiдацiю;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вирiшення питань про створення, реорганiзацiю та/або лiквiдацiю структурних та/або вiдокремлених пiдроздiлiв Товариства, крiм випадкiв, коли за рiшенням Наглядової ради вирiшення зазначених питань делеговано Генеральному директору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вирiшення питань, передбачених чинним законодавством України, в разi злиття, приєднання, подiлу, видiлу або перетворення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прийняття рiшення про вчинення значного правочину або правочину iз заiнтересованiстю у випадках, передбачених законом, крiм правочинiв, що вчиняються Товариством у рамках провадження звичайної господарської дiяльностi, за умови їх вчинення на ринкових умовах;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обрання оцiнювача майна Товариства та затвердження умов договору, що укладатиметься з ним, встановлення розмiру оплати його послуг;</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прийняття рiшення про обрання (замiну) депозитарної установи, яка надає Товариству додатковi послуги, затвердження умов договору, що укладатиметься з нею, встановлення розмiру оплати її послуг;</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надсилання акцiонерам оферти про придбання у них акцiй особою, яка придбала контрольний пакет акцiй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бюджету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за поданням Генерального директора щодо купiвлi та продажу цiнних паперiв будь-якого виду;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 xml:space="preserve">прийняття рiшення про проведення перевiрки фiнансово-господарської дiяльностi Товариства за результатами фiнансового року та обрання особи (осiб), яка буде здiйснювати таку перевiрку;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надання згоди на вчинення правочинiв на суму, що перевищує 1 000 000 (один мiльйон) євро за однiєю угодою (або еквiвалент зазначеної суми в iншiй валютi, в тому числi в нацiональнiй валютi України за курсом Нацiонального банку України, встановленим на день пiдписання угоди), за винятком угод, якi безпосередньо пов'язанi з господарською дiяльнiстю Товариства по придбанню виключно у виробника та реалiзацiї автомобiлiв, комплектуючих та запчастин до них марки ?koda, Volkswagen, Audi, Seat, а також здiйснення всiх видiв податкових, митних розрахункiв та зобов'язань перед державою Україна;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надання згоди на вчинення будь-яких правочинiв вiд iменi Товариства щодо вiдчуження основних фондiв Товариства на суму, що перевищує 50 000 (п'ятдесяти тисяч) євро за одним правочином (або еквiвалент зазначеної суми в iншiй валютi, в тому числi в нацiональнiй валютi України за курсом Нацiонального банку України, встановленим на день вчинення правочину);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надання згоди на укладання кредитних договорiв, договорiв позики (поворотної та безповоротної фiнансової допомоги), застави, поруки, безоплатного користування майном, уступки вимоги i переводу боргу;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надання дозволу Генеральному директору на здiйснення пожертв та/або безповоротної матерiальної допомоги юридичним особам на суму, що перевищує 5 000 (п'ять тисяч) гривень та фiзичним особам, на суму, що перевищує 500 (п'ятсот) гривень;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надання згоди Генеральному директору Товариства на право приймати на роботу до Товариства осiб, якi є близькими родичами чи свояками (батьки, подружжя, брати, сестри, дiти, а також батьки, брати, сестри i дiти подружжя), якщо у зв'язку з виконанням трудових обов'язкiв вони безпосередньо пiдпорядкованi один одному;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вичерпних перелiкiв: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банкiвських установ з надання Товариству послуг по здiйсненню розрахунково-касових операцiй;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страхових компанiй з надання Товариству послуг по страхуванню.</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розгляд не рiдше одного разу в квартал звiту Генерального директора щодо фiнансової та господарської дiяльностi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Перелiку ключових спецiалiстiв Товариства, створюваних ним фiлiй та представництв;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iстотних умов трудових вiдносин з ключовими спецiалiстами Товариства, створюваних ним фiлiй та представництв, якi визначенi в затвердженому Перелiку;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надання згоди Генеральному директору на право приймати на роботу до Товариства, створюваних ним фiлiй та представництв, осiб на посади ключових спецiалiстiв згiдно затвердженого Перелiку;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прийняття рiшення про внесення змiн до вiдомостей, що мiстяться в Єдиному державному реєстрi юридичних осiб, фiзичних осiб - пiдприємцiв та громадських формувань, крiм тих вiдомостей, змiна яких вiднесена до виключної компетенцiї Загальних зборiв та/або потребує внесення змiн до Статуту;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цiни викупу, розмiщення, придбання або продажу акцiй у випадках, коли затвердження цiни передбачене вiдповiдною процедурою, та у порядку, визначеному законом;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рiчного звiту (рiчної регулярної iнформацiї)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затвердження умов провадження Товариством господарської дiяльностi, що є звичайною господарською дiяльнiстю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вирiшення iнших питань, вiднесених до виключної компетенцiї Наглядової ради чинним законодавством України.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повноважень голови Наглядової ради Товариства вiдноситься: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виконання виключно представницьких функцiй у вiдносинах з державними, громадськими, мiжнародними та iншими органiзацiями та особами;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сприяння встановленню зовнiшньоекономiчних зв'язкiв, особиста участь у веденнi переговорiв;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представництво Товариства на внутрiшньому та зовнiшньому ринку з метою пошуку нових ринкiв збуту;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створення та ефективна реалiзацiя iнвестицiйних проектiв, органiзацiя впровадження у виробництво нової технiки та прогресивних технологiй, покращення системи менеджменту та мотивацiйних механiзмiв.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Органiзацiя роботи Наглядової ради, скликання її засiдань та головування на них, пiдписання протоколiв засiдань Наглядової ради, здiйснення iнших повноважень, передбачених Статутом та положенням про Наглядову раду здiйснюється головою Наглядової ради, або, за рiшенням Наглядової ради, заступником голови Наглядової ради.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Засiдання Наглядової ради скликаються за iнiцiативою голови Наглядової ради, заступника голови або на вимогу члена Наглядової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Засiдання Наглядової ради також скликаються на вимогу Генерального директора чи iнших осiб, якi беруть участь у засiданнi Наглядової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практику корпоративного управлiння Товариства про Раду директорiв не надається, тому що в Товариствi створена дворiвненва система управлiння.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кодекс корпоративного управлiння оператора органiзованого ринку капiталу, об'єднання юридичних осiб або Кодекс корпоративного управлiння, затверджений Нацiональною комiсiєю з цiнних паперiв та фондового ринку не надається, тому що Товариством не приймалося рiшення про добровiльне застосування перелiчених кодексiв.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вiдхилень вiд положень кодексу корпоративного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збори власникiв облiгацiй та загальний опис прийнятих на таких зборах рiшень не надається, тому що Товариство не випускало облiгацiй.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проведенi засiдання комiтетiв Наглядової ради та загальний опис прийнятих рiшень не надається, тому що в Товариствi не створено комiтетiв у складi Наглядової ради.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персональний склад колегiального виконавчого органу та його комiтетiв, Iнформацiя про проведенi засiдання колегiального виконавчого органу та загальний опис прийнятих рiшень та Iнформацiя про проведенi засiдання комiтетiв колегiального виконавчого органу та загальний опис прийнятих рiшень, звiт виконавчого органу не надається, тому що в Товариствi створено одноосiбний виконавчий орган - Генеральний директор.</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корпоративного секретаря, а також звiт щодо результатiв його дiяльностi не надається, тому що на кiнець звiтного перiоду посада корпоративного секретаря в Товариствi вiдсутня.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будь-яких обмежень прав участi та голосування акцiонерiв (учасникiв) на загальних зборах особи не надається, тому що такi обмеження вiдсутнi.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порядку призначення/звiльнення посадових осiб (крiм ради та виконавчого органу) особи не надається, тому що iншi посадовi особи (крiм ради та виконавчого органу) в Товариствi вiдсутнi.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полiтику розкриття iнформацiї не надається, тому що в Товариствi вiдсутнiй внутрiшнiй документ, який визначає полiтику щодо розкриття iнформацiї.</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радника не надається, тому що радник з корпоративних прав в Товариствi вiдсутнiй.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передбачена законодавством про дiяльнiсть та регулювання дiяльностi на ринку фiнансових послуг не надається, тому що Товариство не є фiнансовою установою.</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наявностi у емiтента вiдносин з iноземними державами зони ризику не надається, тому що станом на 31.12.2024 у Товариства вiдсутнi зв'язки з iноземним державами зони ризику.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корпоративнi/акцiонернi договори, укладенi акцiонерами Товариства не надається, тому що такi договори вiдсутнi.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не надається, тому що такi договори вiдсутнi.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винагороди або компенсацiї, якi мають бути виплаченi посадовими особами емiтента в разi їх звiльнення не надається, тому що 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дивiденднду полiтику.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виплату дивiдендiв та iнших доходiв за цiнними паперами у звiтному роцi не надається, тому що дивiденди у звiтному роцi не виплачувались.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не надаться тому, що Товариство не здiйснювало випуск боргових цiнних паперiв.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РНОКПП та УНЗР деяких посадових осiб не надається, тому що УНЗР в таких посадових осiб вiдсутнiй.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797527" w:rsidRDefault="0079752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797527" w:rsidRDefault="0079752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797527" w:rsidRDefault="0079752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797527" w:rsidRDefault="0079752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797527" w:rsidRDefault="00797527">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до річного звіту</w:t>
      </w: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Look w:val="04A0"/>
      </w:tblPr>
      <w:tblGrid>
        <w:gridCol w:w="8897"/>
        <w:gridCol w:w="1971"/>
      </w:tblGrid>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 Загальна інформація</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12</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Ідентифікаційні дані та загальна інформація</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12</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 Органи управління та посадові особи. Організаційна структура</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16</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 Структура власності</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21</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 Опис господарської та фінансової діяльності</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21</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5. Участь в інших особах</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33</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II. Інформація щодо капіталу та цінних паперів</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33</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Структура капіталу</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33</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 Цінні папери</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34</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III. Фінансова інформація</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36</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Інформація про розмір доходу за видами діяльності особи</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36</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 Річна фінансова звітність</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36</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 Аудиторський звіт до річної фінансової звітності</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36</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 Твердження щодо річної інформації</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47</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5. Значні правочини та правочини із заінтересованістю</w:t>
            </w:r>
          </w:p>
        </w:tc>
        <w:tc>
          <w:tcPr>
            <w:tcW w:w="1971" w:type="dxa"/>
          </w:tcPr>
          <w:p w:rsidR="00D275D9" w:rsidRPr="00D275D9" w:rsidRDefault="00D275D9"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47</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IV. Нефінансова інформація</w:t>
            </w:r>
          </w:p>
        </w:tc>
        <w:tc>
          <w:tcPr>
            <w:tcW w:w="1971" w:type="dxa"/>
          </w:tcPr>
          <w:p w:rsidR="00D275D9" w:rsidRPr="00D275D9" w:rsidRDefault="00D275D9" w:rsidP="00D52CE8">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w:t>
            </w:r>
            <w:r w:rsidR="00D52CE8">
              <w:rPr>
                <w:rFonts w:ascii="Times New Roman CYR" w:eastAsiaTheme="minorEastAsia" w:hAnsi="Times New Roman CYR" w:cs="Times New Roman CYR"/>
                <w:sz w:val="24"/>
                <w:szCs w:val="24"/>
              </w:rPr>
              <w:t>9</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Звіт керівництва (звіт про управління)</w:t>
            </w:r>
          </w:p>
        </w:tc>
        <w:tc>
          <w:tcPr>
            <w:tcW w:w="1971" w:type="dxa"/>
          </w:tcPr>
          <w:p w:rsidR="00D275D9" w:rsidRPr="00D275D9" w:rsidRDefault="00D52CE8"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Pr>
                <w:rFonts w:ascii="Times New Roman CYR" w:eastAsiaTheme="minorEastAsia" w:hAnsi="Times New Roman CYR" w:cs="Times New Roman CYR"/>
                <w:sz w:val="24"/>
                <w:szCs w:val="24"/>
              </w:rPr>
              <w:t>49</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звіт про корпоративне управління</w:t>
            </w:r>
          </w:p>
        </w:tc>
        <w:tc>
          <w:tcPr>
            <w:tcW w:w="1971" w:type="dxa"/>
          </w:tcPr>
          <w:p w:rsidR="00D275D9" w:rsidRPr="00D275D9" w:rsidRDefault="00D52CE8"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Pr>
                <w:rFonts w:ascii="Times New Roman CYR" w:eastAsiaTheme="minorEastAsia" w:hAnsi="Times New Roman CYR" w:cs="Times New Roman CYR"/>
                <w:sz w:val="24"/>
                <w:szCs w:val="24"/>
              </w:rPr>
              <w:t>50</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 звіт про сталий розвиток</w:t>
            </w:r>
          </w:p>
        </w:tc>
        <w:tc>
          <w:tcPr>
            <w:tcW w:w="1971" w:type="dxa"/>
          </w:tcPr>
          <w:p w:rsidR="00D275D9" w:rsidRPr="00D275D9" w:rsidRDefault="00D52CE8"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Pr>
                <w:rFonts w:ascii="Times New Roman CYR" w:eastAsiaTheme="minorEastAsia" w:hAnsi="Times New Roman CYR" w:cs="Times New Roman CYR"/>
                <w:sz w:val="24"/>
                <w:szCs w:val="24"/>
              </w:rPr>
              <w:t>69</w:t>
            </w:r>
          </w:p>
        </w:tc>
      </w:tr>
      <w:tr w:rsidR="00D275D9" w:rsidRPr="00D275D9" w:rsidTr="00D52CE8">
        <w:tc>
          <w:tcPr>
            <w:tcW w:w="8897" w:type="dxa"/>
          </w:tcPr>
          <w:p w:rsidR="00D275D9" w:rsidRPr="00D275D9" w:rsidRDefault="00D275D9" w:rsidP="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VI. Список посилань на регульовану інформацію, яка була розкрита протягом звітного року</w:t>
            </w:r>
          </w:p>
        </w:tc>
        <w:tc>
          <w:tcPr>
            <w:tcW w:w="1971" w:type="dxa"/>
          </w:tcPr>
          <w:p w:rsidR="00D275D9" w:rsidRPr="00D275D9" w:rsidRDefault="00D52CE8" w:rsidP="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Pr>
                <w:rFonts w:ascii="Times New Roman CYR" w:eastAsiaTheme="minorEastAsia" w:hAnsi="Times New Roman CYR" w:cs="Times New Roman CYR"/>
                <w:sz w:val="24"/>
                <w:szCs w:val="24"/>
              </w:rPr>
              <w:t>73</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sectPr w:rsidR="00D275D9">
          <w:pgSz w:w="12240" w:h="15840"/>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Приватне акцiонерне товариство "Єврокар"</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ПрАТ "Єврокар"</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30913130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14.04.2000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89460, Україна, Закарпатська обл., Ужгородський р-н, с. Соломоново, вул. Перемоги, 46</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V</w:t>
            </w:r>
            <w:r w:rsidRPr="00D275D9">
              <w:rPr>
                <w:rFonts w:ascii="Times New Roman CYR" w:eastAsiaTheme="minorEastAsia" w:hAnsi="Times New Roman CYR" w:cs="Times New Roman CYR"/>
                <w:sz w:val="24"/>
                <w:szCs w:val="24"/>
              </w:rPr>
              <w:tab/>
              <w:t>Емітент</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Особа, яка надає забезпечення</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V</w:t>
            </w:r>
            <w:r w:rsidRPr="00D275D9">
              <w:rPr>
                <w:rFonts w:ascii="Times New Roman CYR" w:eastAsiaTheme="minorEastAsia" w:hAnsi="Times New Roman CYR" w:cs="Times New Roman CYR"/>
                <w:sz w:val="24"/>
                <w:szCs w:val="24"/>
              </w:rPr>
              <w:tab/>
              <w:t>Так</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Ні</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V</w:t>
            </w:r>
            <w:r w:rsidRPr="00D275D9">
              <w:rPr>
                <w:rFonts w:ascii="Times New Roman CYR" w:eastAsiaTheme="minorEastAsia" w:hAnsi="Times New Roman CYR" w:cs="Times New Roman CYR"/>
                <w:sz w:val="24"/>
                <w:szCs w:val="24"/>
              </w:rPr>
              <w:tab/>
              <w:t>Велике</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Середнє</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Мале</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Мікро</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eurocar@eurocar.ua</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www.skoda-auto.ua</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(0312) 646130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234475796</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263</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29.10 - Виробництво автотранспортних засобiв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33.20 - Установлення та монтаж машин та устаткування</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29.32 - Виробництво iнших вузлiв, деталей i приладдя для автотранспортних засобiв</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Однорівнева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V</w:t>
            </w:r>
            <w:r w:rsidRPr="00D275D9">
              <w:rPr>
                <w:rFonts w:ascii="Times New Roman CYR" w:eastAsiaTheme="minorEastAsia" w:hAnsi="Times New Roman CYR" w:cs="Times New Roman CYR"/>
                <w:sz w:val="24"/>
                <w:szCs w:val="24"/>
              </w:rPr>
              <w:tab/>
              <w:t>Дворівнева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Інше</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Акцiонерне товариство "Укргазбанк"</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23697280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UA273204780000000000260042669</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гривня</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Акцiонерне товариство "Укргазбанк"</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23697280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UA273204780000000000260042669</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долар США</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Акцiонерне товариство "Укргазбанк"</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23697280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UA273204780000000000260042669</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євро</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Акцiонерне товариство "Укргазбанк"</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23697280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UA833204780000026005924860925</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гривня</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Акцiонерне товариство "Укргазбанк"</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23697280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UA833204780000026005924860925</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долар США</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Акцiонерне товариство "Укргазбанк"</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23697280</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UA833204780000026005924860925</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євро</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sectPr w:rsidR="00D275D9">
          <w:pgSz w:w="12240" w:h="15840"/>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200"/>
        <w:gridCol w:w="2200"/>
        <w:gridCol w:w="2200"/>
        <w:gridCol w:w="4400"/>
        <w:gridCol w:w="3850"/>
      </w:tblGrid>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Інформація про виконання</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6</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172/ж10/31-00-04-02-02-32</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14.02.2024</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Порушення граничних строкiв реєстрацiї в ЄРПН податкових накладних/розрахункiв коригувань, 13977,07 грн.</w:t>
            </w:r>
          </w:p>
        </w:tc>
        <w:tc>
          <w:tcPr>
            <w:tcW w:w="44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Стаття 201, пункт 89-90 пiдроздiл 2 роздiл ХХ "Перехiднi положення" ПК України</w:t>
            </w:r>
          </w:p>
        </w:tc>
        <w:tc>
          <w:tcPr>
            <w:tcW w:w="38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22.02.2024, сплачено</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845/ж10/31-00-04-02-02-32</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19.04.2024</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Порушення правил сплати грошового зобов'язання/ порушення строку зарахування податкiв до бюджетiв або державних цiльових фондiв з податку на прибуток iноземних юридичних осiб (4851,25 грн.)</w:t>
            </w:r>
          </w:p>
        </w:tc>
        <w:tc>
          <w:tcPr>
            <w:tcW w:w="44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пiдпункт 69.1 пункту 69  пiдроздiл 10 роздiлу  ХХ та пункт 31.3 статтi 31 ПК України</w:t>
            </w:r>
          </w:p>
        </w:tc>
        <w:tc>
          <w:tcPr>
            <w:tcW w:w="38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08.05.2024, сплачено</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948/ж10/31-00-04-02-02-32</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25.04.2024</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Порушення правил сплати грошового зобов'язання/ порушення строку зарахування податкiв до бюджетiв або державних цiльових фондiв з акцизного податку (34179,72 грн.)</w:t>
            </w:r>
          </w:p>
        </w:tc>
        <w:tc>
          <w:tcPr>
            <w:tcW w:w="44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пiдпункт 69.1 пункту 69  пiдроздiл 10 роздiлу  ХХ та пункт 31.3 статтi 31 ПК України</w:t>
            </w:r>
          </w:p>
        </w:tc>
        <w:tc>
          <w:tcPr>
            <w:tcW w:w="38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17.05.2024, сплачено</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4</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1838/ж10/31-00-04-02-02-32</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06.09.2024</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Порушення граничних строкiв реєстрацiї в ЄРПН податкових накладних/розрахункiв коригувань (1496,29 грн.)</w:t>
            </w:r>
          </w:p>
        </w:tc>
        <w:tc>
          <w:tcPr>
            <w:tcW w:w="44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Стаття 201, пункт 89-90 пiдроздiл 2 роздiлу  ХХ "Перехiднi положення" ПК України</w:t>
            </w:r>
          </w:p>
        </w:tc>
        <w:tc>
          <w:tcPr>
            <w:tcW w:w="38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19.09.2024, сплачено</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5</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2490/ж10/31-00-04-02-</w:t>
            </w:r>
            <w:r w:rsidRPr="00D275D9">
              <w:rPr>
                <w:rFonts w:ascii="Times New Roman CYR" w:eastAsiaTheme="minorEastAsia" w:hAnsi="Times New Roman CYR" w:cs="Times New Roman CYR"/>
                <w:sz w:val="20"/>
                <w:szCs w:val="20"/>
              </w:rPr>
              <w:lastRenderedPageBreak/>
              <w:t>02-32</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10.12.2024</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 xml:space="preserve">Центральне </w:t>
            </w:r>
            <w:r w:rsidRPr="00D275D9">
              <w:rPr>
                <w:rFonts w:ascii="Times New Roman CYR" w:eastAsiaTheme="minorEastAsia" w:hAnsi="Times New Roman CYR" w:cs="Times New Roman CYR"/>
                <w:sz w:val="20"/>
                <w:szCs w:val="20"/>
              </w:rPr>
              <w:lastRenderedPageBreak/>
              <w:t>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 xml:space="preserve">Порушення граничних </w:t>
            </w:r>
            <w:r w:rsidRPr="00D275D9">
              <w:rPr>
                <w:rFonts w:ascii="Times New Roman CYR" w:eastAsiaTheme="minorEastAsia" w:hAnsi="Times New Roman CYR" w:cs="Times New Roman CYR"/>
                <w:sz w:val="20"/>
                <w:szCs w:val="20"/>
              </w:rPr>
              <w:lastRenderedPageBreak/>
              <w:t>строкiв реєстрацiї в ЄРПН податкових накладних/розрахункiв коригувань (1162,25 грн.)</w:t>
            </w:r>
          </w:p>
        </w:tc>
        <w:tc>
          <w:tcPr>
            <w:tcW w:w="44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 xml:space="preserve">Стаття 201, пункт 89-90 пiдроздiл 2 роздiлу ХХ </w:t>
            </w:r>
            <w:r w:rsidRPr="00D275D9">
              <w:rPr>
                <w:rFonts w:ascii="Times New Roman CYR" w:eastAsiaTheme="minorEastAsia" w:hAnsi="Times New Roman CYR" w:cs="Times New Roman CYR"/>
                <w:sz w:val="20"/>
                <w:szCs w:val="20"/>
              </w:rPr>
              <w:lastRenderedPageBreak/>
              <w:t>"Перехiднi положення" ПК України</w:t>
            </w:r>
          </w:p>
        </w:tc>
        <w:tc>
          <w:tcPr>
            <w:tcW w:w="38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30.12.2024, сплачено</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0"/>
          <w:szCs w:val="20"/>
        </w:rPr>
      </w:pPr>
    </w:p>
    <w:p w:rsidR="00D275D9" w:rsidRDefault="00D275D9">
      <w:pPr>
        <w:widowControl w:val="0"/>
        <w:autoSpaceDE w:val="0"/>
        <w:autoSpaceDN w:val="0"/>
        <w:adjustRightInd w:val="0"/>
        <w:spacing w:after="0" w:line="240" w:lineRule="auto"/>
        <w:rPr>
          <w:rFonts w:ascii="Times New Roman CYR" w:hAnsi="Times New Roman CYR" w:cs="Times New Roman CYR"/>
          <w:sz w:val="20"/>
          <w:szCs w:val="20"/>
        </w:rPr>
        <w:sectPr w:rsidR="00D275D9">
          <w:pgSz w:w="16837" w:h="11905" w:orient="landscape"/>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Персональний склад органу управління (контролю)</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 (чотири) акцiонери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акцiонери згiдно з реєстром власникiв iменних цiнних паперiв</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 (п'ять)</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Голова Наглядової Ради - Вiнфрiд Фаланд</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Заступник Голови Наглядової Ради - Панов Володимир Олексiйович</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Члени наглядової ради: Чернобай Дмитро Михайлович, Боярин Петро Iллiч, Боярин Вiктор Олегович</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Одноосiбний виконавчий орган - 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 (один)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Боярин Олег Петрович - Генеральний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sectPr w:rsidR="00D275D9">
          <w:pgSz w:w="12240" w:h="15840"/>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Непогашена судимість за корисливі та посадові злочини (Так/Ні)</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11</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Вiнфрiд Фаланд</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40</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Volvo Car Corporation (Швецiя)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556074-3089</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Член Ради директорiв;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Eldor Corporation S.p.A., 02390960132, голова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Proton Holdings Berhad , 200301020757 (623177-A), член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Vibracoustic AG (Registration No. HRB 98601), DE813973055, член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Polestar Automotive Holding UK PLC, 13624182, директор (член) ради директорiв, голова ради директорiв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07.05.2024</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на 3 роки, до переобрання</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Ні</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Заступник Голови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Панов Володимир Олексiйович</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49</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Приватне акцiонерне товариство "Єврокар",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30913130,</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член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"СТС", 32784440,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"СЕЗПАРКСЕРВIС", 34676141,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 xml:space="preserve">ТОВАРИСТВО З </w:t>
            </w:r>
            <w:r w:rsidRPr="00D275D9">
              <w:rPr>
                <w:rFonts w:ascii="Times New Roman CYR" w:eastAsiaTheme="minorEastAsia" w:hAnsi="Times New Roman CYR" w:cs="Times New Roman CYR"/>
                <w:sz w:val="20"/>
                <w:szCs w:val="20"/>
              </w:rPr>
              <w:lastRenderedPageBreak/>
              <w:t>ОБМЕЖЕНОЮ ВIДПОВIДАЛЬНIСТЮ "ВIКО-СПОРТ", 22081542,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Обласна федерацiя роботодавцiв Закарпаття, 38015500, голова органiзацiї роботодавцiв;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"Обласне об'єднання роботодавцiв Закарпаття", 26464101, голова об'єднання роботодавцiв;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Закарпатська обласна органiзацiя машинобудування, 38369635, голова органiзацiї;</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Обласна органiзацiя рекреацiї та туризму Закарпаття, 38369640, голова органiзацiї;</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Благодiйний фонд "Фонд стратегiчних дослiджень", 25444883,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Благодiйний фонд "Карпатський Єврорегiон", 22114974,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"СОЛОМОНОВО ДЕВЕЛОПМЕНТ ПАРК", 45230861,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07.05.2024</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Ні</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3</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Чернобай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32</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Приватне акцiонерне товариство "Єврокар",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30913130,</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член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"ЄВРОКАР",  32384621,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07.05.2024</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Ні</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Боярин Петро Iллiч</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60</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 xml:space="preserve">Приватне акцiонерне товариство "Єврокар", </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30913130</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член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 xml:space="preserve">Товариство з обмеженою </w:t>
            </w:r>
            <w:r w:rsidRPr="00D275D9">
              <w:rPr>
                <w:rFonts w:ascii="Times New Roman CYR" w:eastAsiaTheme="minorEastAsia" w:hAnsi="Times New Roman CYR" w:cs="Times New Roman CYR"/>
                <w:sz w:val="20"/>
                <w:szCs w:val="20"/>
              </w:rPr>
              <w:lastRenderedPageBreak/>
              <w:t>вiдповiдальнiстю "Академiя", 21545293,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Приватне акцiонерне товариство "Автотрейдiнг Iнвест", 31106821, генеральний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07.05.2024</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Ні</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5</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Боярин Вiктор Олегович</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1997</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6</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"Американська легенда",</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33600532</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ДОЧIРНЄ ПIДПРИЄМСТВО "Мототрейдiнг Київ", 31904127,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ДОЧIРНЄ ПIДПРИЄМСТВО "Мототрейдiнг Днiпро", 32312667,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"Американська свобода", 36055384,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"Єврокар Сервiс", 20058711, член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"Єврокар", 32384621, фахiвець з iнновацiйної дiяльностi</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07.05.2024</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Ні</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Непогашена судимість за корисливі та посадові злочини (Так/Ні)</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11</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Генеральний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Боярин Олег Петрович</w:t>
            </w:r>
          </w:p>
        </w:tc>
        <w:tc>
          <w:tcPr>
            <w:tcW w:w="1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29</w:t>
            </w:r>
          </w:p>
        </w:tc>
        <w:tc>
          <w:tcPr>
            <w:tcW w:w="3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Приватне акцiонерне товариство "Єврокар",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30913130,</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 xml:space="preserve">Заступник Голови Наглядової </w:t>
            </w:r>
            <w:r w:rsidRPr="00D275D9">
              <w:rPr>
                <w:rFonts w:ascii="Times New Roman CYR" w:eastAsiaTheme="minorEastAsia" w:hAnsi="Times New Roman CYR" w:cs="Times New Roman CYR"/>
                <w:sz w:val="20"/>
                <w:szCs w:val="20"/>
              </w:rPr>
              <w:lastRenderedPageBreak/>
              <w:t>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"ЄВРОКАР", 32384621, голова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"Атолл Холдiнг", 31237888, директор;</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Приватне акцiонерне товариство "Автотрейдiнг Iнвест", 31106821, голова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Приватне акцiонерне товариство "МТ Консалтiнг", 31167727, голова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"Єврокар сервiс", 20058711, голова наглядової ради;</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ТОВАРИСТВО З ОБМЕЖЕНОЮ ВIДПОВIДАЛЬНIСТЮ "АВТОТРЕЙДIНГ АТОЛЛ ГРУП", 35755339, директор, голова наглядової ради, член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lastRenderedPageBreak/>
              <w:t>01.10.2024</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до 30.09.2025 включно</w:t>
            </w:r>
          </w:p>
        </w:tc>
        <w:tc>
          <w:tcPr>
            <w:tcW w:w="1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0"/>
                <w:szCs w:val="20"/>
              </w:rPr>
            </w:pPr>
            <w:r w:rsidRPr="00D275D9">
              <w:rPr>
                <w:rFonts w:ascii="Times New Roman CYR" w:eastAsiaTheme="minorEastAsia" w:hAnsi="Times New Roman CYR" w:cs="Times New Roman CYR"/>
                <w:sz w:val="20"/>
                <w:szCs w:val="20"/>
              </w:rPr>
              <w:t>Ні</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0"/>
          <w:szCs w:val="20"/>
        </w:rPr>
      </w:pPr>
    </w:p>
    <w:p w:rsidR="00D275D9" w:rsidRDefault="00D275D9">
      <w:pPr>
        <w:widowControl w:val="0"/>
        <w:autoSpaceDE w:val="0"/>
        <w:autoSpaceDN w:val="0"/>
        <w:adjustRightInd w:val="0"/>
        <w:spacing w:after="0" w:line="240" w:lineRule="auto"/>
        <w:rPr>
          <w:rFonts w:ascii="Times New Roman CYR" w:hAnsi="Times New Roman CYR" w:cs="Times New Roman CYR"/>
          <w:sz w:val="20"/>
          <w:szCs w:val="20"/>
        </w:rPr>
        <w:sectPr w:rsidR="00D275D9">
          <w:pgSz w:w="16837" w:h="11905" w:orient="landscape"/>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https://www.skoda-auto.ua/company/organizational-structure-of-emitent</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https://www.skoda-auto.ua/company/ownership-structure-of-emitent </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належить до будь-яких об'єднань пiдприємств.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звiтний рiк з кожного виду спiльної дiяльностi.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проводить спiльну дiяльнiсть з iншими органiзацiями, пiдприємствами, установами.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облiку та оцiнки вартостi фiнансових iнвестицiй тощо).</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об'єктiв основних засобiв нараховується по прямолiнiйному методу. Визнання, оцiнка i облiк основних засобiв здiйснюється вiдповiдно до МСБО 16 "Основнi засоби". Визнання, оцiнка i облiк нематерiальних активiв здiйснюється вiдповiдно до МСБО 38 "Нематерiальнi активи". Одиницею облiку визнається окремий об'єкт нематерiальних активiв. Товарно-матерiальнi цiнностi визнаються, оцiнюються i враховуються вiдповiдно до МСБО 2 "Запаси". Одиницею запасiв визнається кожне найменування цiнностей. Придбанi запаси зараховуються на баланс по собiвартостi вiдповiдно до МСБО 2 "Запаси", ТЗВ включаються в собiвартiсть запасiв. Запаси, якi не принесуть економiчних вигод в майбутньому, визнаються нелiквiдними i списуються в бухгалтерському облiку. Фiнансовi iнвестицiї первiсно оцiнюються та вiдображаються у бухгалтерському облiку за собiвартiстю. Собiвартiсть фiнансової iнвестицiї складається з цiни її придбання, комiсiйних винагород, мита, податкiв, зборiв, обов'язкових платежiв та iнших витрат, безпосередньо пов'язаних з придбанням фiнансової iнвестицiї. Фiнансовi iнвестицiї на дату балансу вiдображаються за справедливою вартiстю.</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передбачає використання власного капiталу та залучення коштiв фiнансових установ (банкiв). Робочого капiталу достатньо для поточних потреб. Можливим шляхом покращення лiквiдностi є зниження кредиторської заборгованостi.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товариством не здiйснювались.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продуктiв (товарiв та/або послуг), якi виробляє / надає особа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видом продукцiї пiдприємства є автомобiлi марки "Skoda", що призначенi для перевезення пасажирiв i невеликого вантажу.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обсяги виробництва (у натуральному та грошовому виразi)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виразi: 1479 шт. Обсяги виробництва у грошовому виразi:  1496476 тис.грн.</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1155,1 тис. грн.</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виручки в 2024р. вiд реалiзацiї виготовлених авто 2223551 тис. грн.</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загальному обсязi продажiв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6) залежнiсть вiд сезонних змiн</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основнi клiєнти (бiльше 5 % у загальнiй сумi виручки)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клiєнтом є ТОВ "Єврокар".</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збуту та країни, в яких особою здiйснюється дiяльнiсть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Ринком збуту є внутрiшнiй ринок України.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Продукцiя пiдприємства реалiзується через ТОВ "Єврокар", який здiйснює роздрiбну торгiвлю новими автомобiлями марки Skoda через мережу дилерських пiдприємств на територiї України та органiзовує їх сервiсне обслуговуваня.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постачальники та види товарiв та/або послуг, якi вони постачають/надають особi, країни з яких здiйснюється постачання/надання товарiв/послуг</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комплектуючi, матерiали, сировина для виробництва автомобiлiв закуповуються у SkodaAuto a.s.</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розвитку галузi, в якiй здiйснює дiяльнiсть особа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є надзвичайно складним технологiчно виробничим процесом. Свiтова економiчна криза призвела до рiзкого падiння автомобiльного ринку України, яке матерiалiзувалося в значному зменшеннi показникiв виробництва, через що українськi виробники були вимушенi значно скоротити чисельнiсть працiвникiв.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Технологiчне обладнання на пiдприємствi дозволяє забезпечити повний технологiчний процес CKD виробництва автомобiлiв (зварювання кузовiв, фарбування, збирання), вiдповiдає українським та європейським нормам, забезпечує високу ступiнь екологiчної чистоти процесiв та економiю енергоресурсiв.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Товариство використовує технологiю крупновузлового виробництва автомобiлiв SKD, на наявному технологiчному обладнаннi.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Становище товариства на ринку стабiльне.</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основнi конкуренти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вiдрiзняється високою конкуренцiєю i представлена практично всiма свiтовими марками. У класi В конкурентами моделi Skoda Fabia є автомобiлi марок Chevrolet Aveo, Renault Logan, Hyundai Accent, Hyundai Gets. У класi C конкурентами моделi Skoda Octavia є автомобiлi марок Toyota Corolla, Hyundai Elantra. У класi E конкурентами моделi Skoda Superb є автомобiлi марок Toyota Camry, Hyundai Sonata, VW Passat. У класi SUV конкурентами моделi Skoda Karoq є автомобiлi марок Nissan Qashqai, Toyota RAV4, VW Tiguan, Skoda Kodiaq - Nissan X-Trail.</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Перспективнiсть виробництва автомобiлiв марки "Skoda", що призначенi для перевезення пасажирiв i невеликого вантажу оцiнюється як висока, зокрема для вiтчизняного ринку споживачiв.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У разi якщо, особа є фiнансовою установою, то вказується iнформацiя передбачена пунктами 1 (в тому числi перелiк банкiвських та фiнансових послуг, якi фактично надавались такою фiнансовою установою протягом звiтного перiоду), 4, 11 - 15.</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є фiнансовою установою.</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Опис ризикiв, як притаманнi дiяльностi особи, пiдходи до управлiння ризиками, заходи особи щодо зменшення впливу ризикiв.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ризиками в дiяльностi Товариства є полiтична та економiчна нестабiльнiсть; змiни законодавства та оподаткування; iнфляцiйнi процеси в економiцi України, державна митна полiтика. Ризики експлуатацiйного перiоду (збiльшення витрат на функцiонування об'єкту, неплатоспроможнiсть партнерiв, криза збуту продукцiї та iн.).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здiйсненнi внутрiшнього контролю використовуються рiзнi методи, вони включають в себе такi </w:t>
      </w:r>
      <w:r>
        <w:rPr>
          <w:rFonts w:ascii="Times New Roman CYR" w:hAnsi="Times New Roman CYR" w:cs="Times New Roman CYR"/>
          <w:sz w:val="24"/>
          <w:szCs w:val="24"/>
        </w:rPr>
        <w:lastRenderedPageBreak/>
        <w:t xml:space="preserve">елементи, як: Управлiння фiнансовими  ризиками: дiяльнiсть товариства пiддається впливу безлiчi фiнансових ризикiв, включаючи ефект вiд змiни ринкових цiн, коливань валютних курсiв.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веде полiтику, спрямовану на попередження й зменшення впливу таких ризикiв. Управлiння ризиками здiйснюється адмiнiстрацiєю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Управлiння кредитними ризиками: фiнансовi iнструменти, якi потенцiйно пiддаються впливу кредитного ризику, в основному представленi торговою дебiторською заборгованiстю та грошовими коштами та еквiвалентами. Управлiння ризиком лiквiдностi: для управлiння ризиком лiквiдностi керiвництво товариства проводить полiтику управлiння активами й зобов'язаннями, спрямовану на недопущення розривiв у строках платежiв, що виражається в здатностi мобiлiзацiї лiквiдних активiв для погашення поточних зобов'язань.Управлiння ризиками має на метi забезпечення належного функцiонування внутрiшнiх процедур та полiтики, що спрямованi на мiнiмiзацiю цих ризикiв.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планує продовжити випуск автомобiлiв марки Skoda моделi Karoq та планує iмпорт нових моделей.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перiод 2019-2024рр. Товариством було придбано активiв на загальну суму 518100,8   тис.грн. За звiтний перiод (2024 рiк) було придбано активiв на 80083,8 тис. грн. Пiдприємство не планує будь-якi значнi iнвестицiї або придбання, пов'язанi з його господарською дiяльнiстю.</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потужностей пiсля її завершення.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емiтента знаходяться за адресою Закарпатська область, Ужгородський район, с. Соломоново, вул. Перемоги, 46. До основних засобiв емiтента вiдноситься: - земельнi дiлянки; - виробничий цех; - промислова iнфраструктура (логiстична та iнженерна); - машини та обладнання; - транспортнi засоби; - iнша необоротнi та нематерiальнi активи. Також ПрАТ "Єврокар" орендує у ТОВ "РIК" виробничий комплекс, що складається з: - монтажний цех та АБК; - промислова iнфраструктура (складська, логiстична та iнженерна); - обладнання; у ТОВ "Євромотор" - трансформаторну пiдстанцiю. ПрАТ "Єврокар" суворо дотримується екологiчних стандартiв. Технологiчне обладнання вiдповiдає українським та європейським нормам, забезпечує високу ступiнь екологiчної чистоти процесiв та економiю енергоресурсiв. Отриманi лiмiти на утворення та зберiгання вiдходiв виробництва, отримано дозвiл на викиди забруднюючих речовин в атмосферне повiтря, отримано спецiальний дозвiл на водокористування. Порушень законодавства у сферi охорони навколишнього природного середовища перевiрками не виявлено. Розробленi та впроваджуються заходи по охоронi навколишнього природного середовища. Максимальнi виробничi потужностi заводу з врахуванням модернiзацiї становлять 50000 тис. авто/рiк. На даний момент виробничi потужностi повнiстю не завантаженi (в т.ч. через кризу), та на кiнець 2024 р. використання виробничих потужностей становило 2,96 %. Капiтальне будiвництво не планується. Удосконалення виробничих засобiв не плануються у зв'язку з вiдсутнiстю повної завантаженостi виробничих потужностей.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Проблеми, якi впливають на дiяльнiсть особи, в тому числi ступiнь залежностi вiд законодавчих або економiчних обмежень.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Ризики, пов'язанi зi змiною полiтичної та економiчної ситуацiї в Українi, ризики експлуатацiйного </w:t>
      </w:r>
      <w:r>
        <w:rPr>
          <w:rFonts w:ascii="Times New Roman CYR" w:hAnsi="Times New Roman CYR" w:cs="Times New Roman CYR"/>
          <w:sz w:val="24"/>
          <w:szCs w:val="24"/>
        </w:rPr>
        <w:lastRenderedPageBreak/>
        <w:t>перiоду (збiльшення цiн на енергоносiї, неплатоспроможнiсть партнерiв, криза збуту продукцiї та iн.). Ступiнь залежностi вiд законодавчих або економiчних обмежень - суттєва.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  1091462,0 тис. грн.</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Очiкуванi прибутки вiд виконання цих договорiв (контрактiв) -  залежатимуть вiд конкретних економiчних умов пiд час їх виконання.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Середньооблiкова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факти змiни розмiру фонду оплати працi, його збiльшення або зменшення вiдносно попереднього року.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- 233;</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чисельнiсть позаштатних працiвникiв - 0,</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осiб, якi працюють за сумiсництвом - 30,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чисельнiсть працiвникiв, якi працюють на умовах неповного робочого часу (дня, тижня) - 42,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фонду оплати працi 87265462.83 грн.,</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 змiни розмiру фонду оплати працi, його збiльшення або зменшення вiдносно попереднього року: у порiвняннi з минулим роком фонд оплати працi збiльшився.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Будь-якi пропозицiї щодо реорганiзацiї з боку третiх осiб, що мали мiсце протягом звiтного перiоду, умови та результати цих пропозицiй</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 боку третiх осiб не було.</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 Iнша iнформацiя, яка може бути iстотною для оцiнки стейкхолдерами фiнансового стану та результатiв дiяльностi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https://www.skoda-auto.ua/company/prat-eurocar-info-for-shareholders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155"/>
        <w:gridCol w:w="1500"/>
        <w:gridCol w:w="1065"/>
        <w:gridCol w:w="3000"/>
        <w:gridCol w:w="1200"/>
      </w:tblGrid>
      <w:tr w:rsidR="00D275D9" w:rsidRPr="00D275D9">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закінчення строку дії ліцензії (за наявності)</w:t>
            </w:r>
          </w:p>
        </w:tc>
      </w:tr>
      <w:tr w:rsidR="00D275D9" w:rsidRPr="00D275D9">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r>
      <w:tr w:rsidR="00D275D9" w:rsidRPr="00D275D9">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Мiнiстерство охорони здоров'я України</w:t>
            </w:r>
          </w:p>
        </w:tc>
        <w:tc>
          <w:tcPr>
            <w:tcW w:w="12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Лiцензiя на право зберiгання пального</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07140414201900029</w:t>
            </w:r>
          </w:p>
        </w:tc>
        <w:tc>
          <w:tcPr>
            <w:tcW w:w="1065"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29.07.2019</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Головне управлiння ДФС у Закарпатськiй областi</w:t>
            </w:r>
          </w:p>
        </w:tc>
        <w:tc>
          <w:tcPr>
            <w:tcW w:w="12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29.07.2024</w:t>
            </w:r>
          </w:p>
        </w:tc>
      </w:tr>
      <w:tr w:rsidR="00D275D9" w:rsidRPr="00D275D9">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Лiцензiя на право зберiгання пального (виключно для потреб власного споживання чи промисловоъ переробки)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07140414202400114</w:t>
            </w:r>
          </w:p>
        </w:tc>
        <w:tc>
          <w:tcPr>
            <w:tcW w:w="1065"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10.07.2024</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Головне управлiння ДПС у Закарпатськiй областi</w:t>
            </w:r>
          </w:p>
        </w:tc>
        <w:tc>
          <w:tcPr>
            <w:tcW w:w="12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29.07.2029</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D275D9" w:rsidRPr="00D275D9">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засоби, усього, тис. грн</w:t>
            </w:r>
          </w:p>
        </w:tc>
      </w:tr>
      <w:tr w:rsidR="00D275D9" w:rsidRPr="00D275D9">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 кінець періоду</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158 592</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141 023</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158 592</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141 023</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133 162</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87 451</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133 162</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87 451</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5 681</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21 742</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5 681</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21 742</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4 673</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14 315</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4 673</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14 315</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14 980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17 375</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14 980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17 375</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96</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96</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158 592</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141 023</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158 592</w:t>
            </w:r>
          </w:p>
        </w:tc>
        <w:tc>
          <w:tcPr>
            <w:tcW w:w="1082"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141 023</w:t>
            </w:r>
          </w:p>
        </w:tc>
      </w:tr>
      <w:tr w:rsidR="00D275D9" w:rsidRPr="00D275D9">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Основнi засоби використовуються в господарськiй дiяльностi.</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Термiни використання основних засобiв: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2 - капiтальнi витрати на полiпшення земель, не пов'язанi з будiвництвом - 180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3 - в т.ч.:</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Будiвлi - 240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Споруди - 180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Передавальнi пристрої - 120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4- в т.ч.:</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Машини та обладнання - 60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Електронно-обчислювальнi машини, iншi: - 24 мiсяцi.</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5 - транспортнi засоби - 60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6 - iнструменти, прилади, iнвентар (меблi) - 48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7 - тварини - 72 мiсяцi.</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8 - багаторiчнi насадження - 120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9 - iншi основнi засоби - 144 мiсяцi.</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10 - бiблiотечнi фонди.</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11- малоцiннi необоротнi активи.</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12 - тимчасовi (нетитульнi) споруди - 60 мiсяцiв.</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14 - iнвентарна тара - 72 мiсяцi.</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15 - предмети прокату - 72 мiсяцi.</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Група 16 - довгостроковi бiологiчнi активи - 84 мiсяцi.</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Первiсна вартiсть основних засобiв - 1655800 тис. грн.</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Ступiнь їх зносу - 91,48 %</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Ступiнь їх використання - 100%.</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Сума нарахованого зносу - 1514777 тис.грн.</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У заставi перебувають основнi засоби (виробниче обладнання)  заставною вартiстю - 1 075 тис. грн., нерухоме майне заставною вартiстю - 17 247 тис. грн. </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Суттєвих змiн у вартостi основних засобiв не було.</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D275D9" w:rsidRPr="00D275D9">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 попередній період</w:t>
            </w:r>
          </w:p>
        </w:tc>
      </w:tr>
      <w:tr w:rsidR="00D275D9" w:rsidRPr="00D275D9">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499 066</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528 385</w:t>
            </w:r>
          </w:p>
        </w:tc>
      </w:tr>
      <w:tr w:rsidR="00D275D9" w:rsidRPr="00D275D9">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234 476</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234 476</w:t>
            </w:r>
          </w:p>
        </w:tc>
      </w:tr>
      <w:tr w:rsidR="00D275D9" w:rsidRPr="00D275D9">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234 476</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234 476</w:t>
            </w:r>
          </w:p>
        </w:tc>
      </w:tr>
      <w:tr w:rsidR="00D275D9" w:rsidRPr="00D275D9">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212,84</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94,45</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Вартiсть чистих активiв у звiтному перiодi перевищує вартiсть статутного капiталу, що вiдповiдає вимогам ч. 2 ст. 16 Закону України "Про акцiонернi товариства".</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D275D9" w:rsidRPr="00D275D9">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погашення</w:t>
            </w:r>
          </w:p>
        </w:tc>
      </w:tr>
      <w:tr w:rsidR="00D275D9" w:rsidRPr="00D275D9">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5 428</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Вiдстроченi податковi зобов'язання</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4 269</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613</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168</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Акцизний податок</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279</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Екологiчний податок</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Податок на прибуток iноземних юридичних осiб</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95</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1 931 963</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Iншi довгостроковi зобов'язання</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1 603 653</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135 577</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46 859</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2 111</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13 505</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6 081</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3 552</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Доходи майбутнiх перiодiв</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220</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120 405</w:t>
            </w:r>
          </w:p>
        </w:tc>
        <w:tc>
          <w:tcPr>
            <w:tcW w:w="194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1 937 391</w:t>
            </w:r>
          </w:p>
        </w:tc>
        <w:tc>
          <w:tcPr>
            <w:tcW w:w="194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sectPr w:rsidR="00D275D9">
          <w:pgSz w:w="12240" w:h="15840"/>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D275D9" w:rsidRPr="00D275D9">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Обсяг реалізованої продукції</w:t>
            </w:r>
          </w:p>
        </w:tc>
      </w:tr>
      <w:tr w:rsidR="00D275D9" w:rsidRPr="00D275D9">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у відсотках до всієї реалізованої продукції</w:t>
            </w:r>
          </w:p>
        </w:tc>
      </w:tr>
      <w:tr w:rsidR="00D275D9" w:rsidRPr="00D275D9">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w:t>
            </w:r>
          </w:p>
        </w:tc>
      </w:tr>
      <w:tr w:rsidR="00D275D9" w:rsidRPr="00D275D9">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Автомобiлi Skoda</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1479 штук</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1496476</w:t>
            </w:r>
          </w:p>
        </w:tc>
        <w:tc>
          <w:tcPr>
            <w:tcW w:w="2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1925 штук</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2223551</w:t>
            </w:r>
          </w:p>
        </w:tc>
        <w:tc>
          <w:tcPr>
            <w:tcW w:w="22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100</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sectPr w:rsidR="00D275D9">
          <w:pgSz w:w="16838" w:h="11906" w:orient="landscape"/>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D275D9" w:rsidRPr="00D275D9">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Відсоток від загальної собівартості реалізованої продукції (у відсотках)</w:t>
            </w:r>
          </w:p>
        </w:tc>
      </w:tr>
      <w:tr w:rsidR="00D275D9" w:rsidRPr="00D275D9">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r>
      <w:tr w:rsidR="00D275D9" w:rsidRPr="00D275D9">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комплектуючi</w:t>
            </w:r>
          </w:p>
        </w:tc>
        <w:tc>
          <w:tcPr>
            <w:tcW w:w="59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93</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Публiчне акцiонерне товариство "Нацiональний депозитарiй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Акціонерне товариство</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30370711</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04107, Україна, м.Київ, вул. Якубенкiвська, 7-г</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(044) 3630400</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63.11 - Оброблення даних, розмiщення iнформацiї на веб-вузлах i пов'язана з ними дiяльнiсть</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18.20 - Тиражування звуко-, вiдеозаписiв i програмного забезпечення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62.01 - Комп'ютерне програмування</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Працює без лiцензiї. Обслуговує випуск цiнних паперiв Товариства</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Державна установа "Агентство з розвитку iнфраструктури фондового ринку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Державна організація (установа, заклад)</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21676262</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03150, Україна, м.Київ, вул. Антоновича, 51, оф. 1206</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(044) 2875670</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63.11 - Оброблення даних, розмiщення iнформацiї на веб-вузлах i пов'язана з ними дiяльнiсть</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84.13 - Регулювання та сприяння ефективному веденню економiчної дiяльностi</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62.02 - Консультування з питань iнформатизацiї</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Працює без лiцензiї. Iнформацiйнi послуги на фондовому ринку з оприлюднення регульованої iнформацiї; Iнформацiйнi послуги з подання звiтностi та/або звiтних даних до НКЦПФР</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ТОВАРИСТВО З ОБМЕЖЕНОЮ ВIДПОВIДАЛЬНIСТЮ  АУДИТОРСЬКА ФIРМА "АУДИТ-IНВЕСТ"</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Товариство з обмеженою відповідальністю</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32241880</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49101, Україна, Дніпропетровська обл., м.Днiпро, вул. Короленка, буд, 15, iнше примiщення 5</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0634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Аудиторська палата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27.10.2016</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(056) 7451405</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69.20 - Дiяльнiсть у сферi бухгалтерського облiку й аудиту; консультування з питань оподаткування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77.33 - Надання в оренду офiсних машин i устатковання, у тому числi комп'ютерiв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85.59 - Iншi види освiти, н.в.i.у.</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Аудит фiнансової звiтностi</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ПРИВАТНЕ АКЦIОНЕРНЕ ТОВАРИСТВО "СТРАХОВА КОМПАНIЯ "УКРАЇНСЬКА СТРАХОВА ГРУПА"</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Акціонерне товариство</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30859524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03038, Україна, м.Київ, вулиця Федорова Iвана, будинок 32 ЛIТ.А</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Нацiональний банк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25.04.2024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(044) 2370278</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65.12 - Iншi види страхування, крiм страхування життя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65.20 - Перестрахування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66.21 - Оцiнювання ризикiв та завданої шкоди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Послуги iз страхування</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АКЦIОНЕРНЕ ТОВАРИСТВО "СТРАХОВА КОМПАНIЯ "IНГО"</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Акціонерне товариство</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16285602</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01054, Україна, м.Київ, ВУЛИЦЯ БУЛЬВАРНО-КУДРЯВСЬКА, будинок 33</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Нацiональний банк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26.04.2024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(044) 4902744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65.12 - Iншi види страхування, крiм страхування життя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65.20 - Перестрахування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66.29 - Iнша допомiжна дiяльнiсть у сферi страхування та пенсiйного забезпечення</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Послуги iз страхування</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ПРИВАТНЕ АКЦIОНЕРНЕ ТОВАРИСТВО "УКРАЇНСЬКА ПОЖЕЖНО-СТРАХОВА КОМПАНIЯ"</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Акціонерне товариство</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20602681</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04080, Україна, м.Київ, ВУЛИЦЯ КИРИЛIВСЬКА, будинок 40</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Нацiональний банк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30.04.2024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(044) 4636421</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65.12 - Iншi види страхування, крiм страхування життя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68.20 - Надання в оренду й експлуатацiю власного чи орендованого нерухомого майна</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66.29 - Iнша допомiжна дiяльнiсть у сферi страхування та пенсiйного забезпечення</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Послуги iз страхування</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ПРИВАТНЕ АКЦIОНЕРНЕ ТОВАРИСТВО "СТРАХОВА КОМПАНIЯ "УНIВЕРСАЛЬНА"</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Акціонерне товариство</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20113829</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01133, Україна, м.Київ, БУЛЬВАР ЛЕСI УКРАЇНКИ, будинок 9</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Нацiональний банк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30.04.2024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0 800 500 381</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65.12 - Iншi види страхування, крiм страхування життя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65.20 - Перестрахування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66.22 - Дiяльнiсть страхових агентiв i брокерiв</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Послуги iз страхування</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ПРИВАТНЕ АКЦIОНЕРНЕ ТОВАРИСТВО"СТРАХОВА КОМПАНIЯ "ПЕРША"</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Акціонерне товариство</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31681672</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03150, Україна, м. Київ, вул.Фiзкультури, будинок 30</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Нацiональний банк України</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26.04.2024</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(044) 3503501</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65.12 - Iншi види страхування, крiм страхування життя</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66.22 - Дiяльнiсть страхових агентiв i брокерiв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65.20 - Перестрахування</w:t>
            </w:r>
          </w:p>
        </w:tc>
      </w:tr>
      <w:tr w:rsidR="00D275D9" w:rsidRPr="00D275D9">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Послуги iз страхування</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sectPr w:rsidR="00D275D9">
          <w:pgSz w:w="12240" w:h="15840"/>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000"/>
        <w:gridCol w:w="3000"/>
        <w:gridCol w:w="2300"/>
        <w:gridCol w:w="1200"/>
        <w:gridCol w:w="1200"/>
        <w:gridCol w:w="1200"/>
        <w:gridCol w:w="3000"/>
      </w:tblGrid>
      <w:tr w:rsidR="00D275D9" w:rsidRPr="00D275D9">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Повне найменування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Місцезнаходження </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Розмір участі особи, %</w:t>
            </w:r>
          </w:p>
        </w:tc>
        <w:tc>
          <w:tcPr>
            <w:tcW w:w="3000" w:type="dxa"/>
            <w:vMerge w:val="restart"/>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Активи, які було передано особі</w:t>
            </w:r>
          </w:p>
        </w:tc>
      </w:tr>
      <w:tr w:rsidR="00D275D9" w:rsidRPr="00D275D9">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w:t>
            </w:r>
          </w:p>
        </w:tc>
      </w:tr>
      <w:tr w:rsidR="00D275D9" w:rsidRPr="00D275D9">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Товариство з обмеженою вiдповiдальнiстю "РIК"</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89460, Закарпатська область, Ужгородський район, с. Соломоново, вул. Перемоги, 46</w:t>
            </w:r>
          </w:p>
        </w:tc>
        <w:tc>
          <w:tcPr>
            <w:tcW w:w="2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32784477</w:t>
            </w:r>
          </w:p>
        </w:tc>
        <w:tc>
          <w:tcPr>
            <w:tcW w:w="1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99,7487</w:t>
            </w:r>
          </w:p>
        </w:tc>
        <w:tc>
          <w:tcPr>
            <w:tcW w:w="1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99,7487</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Грошовi кошти</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000"/>
        <w:gridCol w:w="2000"/>
        <w:gridCol w:w="2000"/>
        <w:gridCol w:w="1900"/>
        <w:gridCol w:w="2000"/>
        <w:gridCol w:w="2000"/>
        <w:gridCol w:w="3000"/>
      </w:tblGrid>
      <w:tr w:rsidR="00D275D9" w:rsidRPr="00D275D9">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Облік часток особи в обліковій системі часток</w:t>
            </w:r>
          </w:p>
        </w:tc>
      </w:tr>
      <w:tr w:rsidR="00D275D9" w:rsidRPr="00D275D9">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w:t>
            </w:r>
          </w:p>
        </w:tc>
      </w:tr>
      <w:tr w:rsidR="00D275D9" w:rsidRPr="00D275D9">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Акцiя проста iменна</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807 980</w:t>
            </w:r>
          </w:p>
        </w:tc>
        <w:tc>
          <w:tcPr>
            <w:tcW w:w="19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290,20</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У вiдповiдностi до статуту товариства iснують наступнi обмеження щодо обiгу цiнних паперiв: переважне право акцiонерiв при додатковiй емiсiї  акцiй - право акцiонера - власника   простих  голосуючих акцiй   придбавати </w:t>
            </w:r>
            <w:r w:rsidRPr="00D275D9">
              <w:rPr>
                <w:rFonts w:ascii="Times New Roman CYR" w:eastAsiaTheme="minorEastAsia" w:hAnsi="Times New Roman CYR" w:cs="Times New Roman CYR"/>
              </w:rPr>
              <w:lastRenderedPageBreak/>
              <w:t>розмiщуванi  товариством  простi акцiї пропорцiйно частцi належних йому простих голосуючих акцiй у загальнiй кiлькостi простих акцiй.</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Немає</w:t>
            </w:r>
          </w:p>
        </w:tc>
        <w:tc>
          <w:tcPr>
            <w:tcW w:w="3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D275D9" w:rsidRPr="00D275D9">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Частка у статутному капіталі (у відсотках)</w:t>
            </w:r>
          </w:p>
        </w:tc>
      </w:tr>
      <w:tr w:rsidR="00D275D9" w:rsidRPr="00D275D9">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w:t>
            </w:r>
          </w:p>
        </w:tc>
      </w:tr>
      <w:tr w:rsidR="00D275D9" w:rsidRPr="00D275D9">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01.11.2011</w:t>
            </w:r>
          </w:p>
        </w:tc>
        <w:tc>
          <w:tcPr>
            <w:tcW w:w="13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502/1/11</w:t>
            </w:r>
          </w:p>
        </w:tc>
        <w:tc>
          <w:tcPr>
            <w:tcW w:w="24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UA4000110258</w:t>
            </w:r>
          </w:p>
        </w:tc>
        <w:tc>
          <w:tcPr>
            <w:tcW w:w="16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807 980</w:t>
            </w:r>
          </w:p>
        </w:tc>
        <w:tc>
          <w:tcPr>
            <w:tcW w:w="14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234 475 796</w:t>
            </w:r>
          </w:p>
        </w:tc>
        <w:tc>
          <w:tcPr>
            <w:tcW w:w="17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100</w:t>
            </w:r>
          </w:p>
        </w:tc>
      </w:tr>
      <w:tr w:rsidR="00D275D9" w:rsidRPr="00D275D9">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Торгiвля акцiями на внутрiшнiх та зовнiшнiх ринках не здiйснювалася. Фактiв допуску / скасування допуску цiнних паперiв до торгiв на регульованому фондовому ринку не було. В 2011-ому роцi було змiнено номiнальну вартiсть акцiй на 290,2 грн. Додаткової емiсiї в звiтному перiодi не було.</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D275D9" w:rsidRPr="00D275D9">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D275D9" w:rsidRPr="00D275D9">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w:t>
            </w:r>
          </w:p>
        </w:tc>
      </w:tr>
      <w:tr w:rsidR="00D275D9" w:rsidRPr="00D275D9">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01.11.2011</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UA4000110258</w:t>
            </w:r>
          </w:p>
        </w:tc>
        <w:tc>
          <w:tcPr>
            <w:tcW w:w="2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807 980</w:t>
            </w:r>
          </w:p>
        </w:tc>
        <w:tc>
          <w:tcPr>
            <w:tcW w:w="21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234 475 796</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807 980</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c>
          <w:tcPr>
            <w:tcW w:w="28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w:t>
            </w:r>
          </w:p>
        </w:tc>
      </w:tr>
      <w:tr w:rsidR="00D275D9" w:rsidRPr="00D275D9">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Характеристика обмеження: Обмеження вiдсутнi.</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sectPr w:rsidR="00D275D9">
          <w:pgSz w:w="16837" w:h="11905" w:orient="landscape"/>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020"/>
        <w:gridCol w:w="2900"/>
        <w:gridCol w:w="2900"/>
      </w:tblGrid>
      <w:tr w:rsidR="00D275D9" w:rsidRPr="00D275D9">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Відсоткове вираження по відношенню від сукупного доходу особи за результатами звітного року</w:t>
            </w:r>
          </w:p>
        </w:tc>
      </w:tr>
      <w:tr w:rsidR="00D275D9" w:rsidRPr="00D275D9">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r>
      <w:tr w:rsidR="00D275D9" w:rsidRPr="00D275D9">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29.10 - Виробництво автотранспортних засобiв</w:t>
            </w:r>
          </w:p>
        </w:tc>
        <w:tc>
          <w:tcPr>
            <w:tcW w:w="29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4763140</w:t>
            </w:r>
          </w:p>
        </w:tc>
        <w:tc>
          <w:tcPr>
            <w:tcW w:w="29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100</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rsidR="00797527"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Рiчна фiнансова звiтнiсть на основi таксономiї у машинозчитувальному форматi розмiщена за адресою: </w:t>
      </w:r>
      <w:hyperlink r:id="rId7" w:history="1">
        <w:r w:rsidR="00797527" w:rsidRPr="009E2D4A">
          <w:rPr>
            <w:rStyle w:val="a8"/>
            <w:rFonts w:ascii="Times New Roman CYR" w:hAnsi="Times New Roman CYR" w:cs="Times New Roman CYR"/>
            <w:sz w:val="24"/>
            <w:szCs w:val="24"/>
          </w:rPr>
          <w:t>https://www.skoda-auto.ua/company/statements24</w:t>
        </w:r>
      </w:hyperlink>
      <w:r>
        <w:rPr>
          <w:rFonts w:ascii="Times New Roman CYR" w:hAnsi="Times New Roman CYR" w:cs="Times New Roman CYR"/>
          <w:sz w:val="24"/>
          <w:szCs w:val="24"/>
        </w:rPr>
        <w:t>.</w:t>
      </w:r>
    </w:p>
    <w:p w:rsidR="00797527"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файлу (архiву) окремої фiнансової звiтностi станом на 31.12.2024 р.:  </w:t>
      </w:r>
      <w:hyperlink r:id="rId8" w:history="1">
        <w:r w:rsidR="00797527" w:rsidRPr="009E2D4A">
          <w:rPr>
            <w:rStyle w:val="a8"/>
            <w:rFonts w:ascii="Times New Roman CYR" w:hAnsi="Times New Roman CYR" w:cs="Times New Roman CYR"/>
            <w:sz w:val="24"/>
            <w:szCs w:val="24"/>
          </w:rPr>
          <w:t>https://www.skoda-auto.ua/_doc/9a74a238-d33f-4314-be12-696809191ac0</w:t>
        </w:r>
      </w:hyperlink>
    </w:p>
    <w:p w:rsidR="00797527"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Iм'я файлу (архiву) 2024_30913130 - окрема.zip</w:t>
      </w:r>
    </w:p>
    <w:p w:rsidR="00797527"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Розмiр файлу 81 KБ (83535 байтiв)</w:t>
      </w:r>
    </w:p>
    <w:p w:rsidR="00797527"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SHA256 контрольна сума: EFEE486352CB8305C564687F8265365F0975A3697610F47B6E8284C74A1012DC</w:t>
      </w:r>
    </w:p>
    <w:p w:rsidR="00797527"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Посилання на пряме завантаження файлу (архiву) консолiдованої фiнансової звiтностi станом на 31.12.2024 р.: </w:t>
      </w:r>
      <w:hyperlink r:id="rId9" w:history="1">
        <w:r w:rsidR="00797527" w:rsidRPr="009E2D4A">
          <w:rPr>
            <w:rStyle w:val="a8"/>
            <w:rFonts w:ascii="Times New Roman CYR" w:hAnsi="Times New Roman CYR" w:cs="Times New Roman CYR"/>
            <w:sz w:val="24"/>
            <w:szCs w:val="24"/>
          </w:rPr>
          <w:t>https://www.skoda-auto.ua/_doc/98c11493-347f-4800-8399-d55f460cf9da</w:t>
        </w:r>
      </w:hyperlink>
      <w:r>
        <w:rPr>
          <w:rFonts w:ascii="Times New Roman CYR" w:hAnsi="Times New Roman CYR" w:cs="Times New Roman CYR"/>
          <w:sz w:val="24"/>
          <w:szCs w:val="24"/>
        </w:rPr>
        <w:t xml:space="preserve"> </w:t>
      </w:r>
    </w:p>
    <w:p w:rsidR="00797527"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Iм'я файлу (архiву) 2024_30913130 - консолiдована.zipРозмiр файлу 82 KБ (84546 байтiв) </w:t>
      </w:r>
    </w:p>
    <w:p w:rsidR="00D275D9" w:rsidRDefault="00D275D9" w:rsidP="00797527">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SHA256 контрольна сума: ED9D128A69E75B377F7562DBA1F986CE9AC9E45368CACEAD3F8F1FD141E1A550</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
        <w:gridCol w:w="5300"/>
        <w:gridCol w:w="4000"/>
      </w:tblGrid>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Повне найменування</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Приватне акцiонерне товариство "Єврокар"</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32241880</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Найменування суб'єкта аудиторської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Товариство з обмеженою вiдповiдальнiстю Аудиторська фiрма "АУДИТ-IНВЕСТ"</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Ідентифікаційний код суб'єкта аудиторської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32241880</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3094 18.12.2018</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7</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Реєстровий номер аудитора, який одноосібно провадить аудиторську діяльність в Реєстрі </w:t>
            </w:r>
            <w:r w:rsidRPr="00D275D9">
              <w:rPr>
                <w:rFonts w:ascii="Times New Roman CYR" w:eastAsiaTheme="minorEastAsia" w:hAnsi="Times New Roman CYR" w:cs="Times New Roman CYR"/>
                <w:sz w:val="24"/>
                <w:szCs w:val="24"/>
              </w:rPr>
              <w:lastRenderedPageBreak/>
              <w:t>аудиторів та суб'єктів аудиторської діяльності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8</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Звітний період, за який проведено аудит фінансової звітності</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 01.01.2024 по 31.12.2024</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02 - із застереженням</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Номер та дата договору на проведення аудиту</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24-04-19/А, додаткова угода № 15 вiд 17.09.2024 р. від 04.04.2019</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початку та дата закінчення аудиту</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 17.09.2024 по 20.03.2025</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аудиторського звіту</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20.03.2025</w:t>
            </w:r>
          </w:p>
        </w:tc>
      </w:tr>
      <w:tr w:rsidR="00D275D9" w:rsidRPr="00D275D9">
        <w:tblPrEx>
          <w:tblCellMar>
            <w:top w:w="0" w:type="dxa"/>
            <w:bottom w:w="0" w:type="dxa"/>
          </w:tblCellMar>
        </w:tblPrEx>
        <w:trPr>
          <w:trHeight w:val="200"/>
        </w:trPr>
        <w:tc>
          <w:tcPr>
            <w:tcW w:w="7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Не виявлено</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Аудиторський звіт до річної фінансової звітності:</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Аудиторський звiт до рiчної фiнансової звiтностi: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ЩОДО АУДИТУ ОКРЕМОЇ ФIНАНСОВОЇ ЗВIТНОСТI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Думка iз застереженням </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провели аудит окремої фiнансової звiтностi ПРИВАТНОГО АКЦIОНЕРНОГО ТОВАРИСТВА "ЄВРОКАР" (далi по тексту - ПрАТ "ЄВРОКАР" або Компанiя), що складається з балансу (звiту про фiнансовий стан) станом на 31.12.2024  р., звiту про фiнансовi результати (звiту про сукупний дохiд) за 2024 рiк, звiту про рух грошових коштiв (за прямим методом) за 2024 рiк, звiту про власний капiтал за 2024 рiк, та примiток до окремої фiнансової звiтностi, включаючи стислий виклад значущих облiкових полiтик.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На нашу думку, за винятком можливого впливу питання, описаного у роздiлi "Основа для думки iз застереженням" нашого звiту, окрема фiнансова звiтнiсть, що додається, вiдображає достовiрно, в усiх суттєвих аспектах фiнансовий стан ПРИВАТНОГО АКЦIОНЕРНОГО ТОВАРИСТВА "ЄВРОКАР" станом на 31.12.2024  року, його фiнансовi результати та рух грошових коштiв за рiк, що закiнчився на зазначену дату, вiдповiдно до вимог Мiжнародних стандартiв фiнансової звiтностi та вимог Закону </w:t>
      </w:r>
      <w:r>
        <w:rPr>
          <w:rFonts w:ascii="Times New Roman CYR" w:hAnsi="Times New Roman CYR" w:cs="Times New Roman CYR"/>
          <w:sz w:val="24"/>
          <w:szCs w:val="24"/>
        </w:rPr>
        <w:lastRenderedPageBreak/>
        <w:t>України "Про бухгалтерський облiк та фiнансову звiтнiсть в Українi" вiд 16.07.1999 року №996-XIV щодо складання фiнансової звiтностi.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Основа для думки iз застереженням</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Станом на 31.12.2024 року за даними балансу (звiту про фiнансовий стан) вартiсть iнвестицiї в дочiрню компанiю вiдображена за собiвартiстю в розмiрi 558 593 тис. грн. Як зазначено в Примiтках 2 та 5.13 Компанiя в окремiй фiнансовiй звiтностi облiковує iнвестицiї в дочiрнi компанiї за собiвартiстю, зменшеною на суму збиткiв вiд їх знецiнення. Вiдповiдно до МСБО 36 "Зменшення корисностi активiв" в кiнцi кожного звiтного перiоду Компанiя повинна проводити оцiнку ознак того, що кориснiсть активу може зменшитися. Розрахунок суми очiкуваного вiдшкодування активу потребує застосування керiвництвом професiйних суджень та припущень. Керiвництвом не було проведено вiдповiдного оцiнювання. Ми не змогли визначити, чи iснує потреба в будь-яких коригуваннях вартостi фiнансових iнвестицiй та суми нерозподiленого прибутку в окремiй фiнансовiй звiтностi, а також елементiв, що входять до складу звiту про фiнансовi результати, звiту про власний капiтал Компанiї.</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провели аудит вiдповiдно до Мiжнародних стандартiв аудиту (МСА). Нашу вiдповiдальнiсть згiдно з цими стандартами викладено в роздiлi "Вiдповiдальнiсть аудитора за аудит окремої фiнансової звiтностi" нашого звiту. Ми є незалежними по вiдношенню до Компанiї згiдно з Мiжнародним кодексом етики професiйних бухгалтерiв (включаючи Мiжнароднi стандарти незалежностi) Ради з Мiжнародних стандартiв етики для бухгалтерiв ("Кодекс РМСЕБ") та етичними вимогами, застосовними в Українi до нашого аудиту окремої фiнансової звiтностi, а також виконали iншi обов'язки з етики вiдповiдно до цих вимог та Кодексу РМСЕБ. Ми вважаємо, що отриманi нами аудиторськi докази є достатнiми i прийнятними для використання їх як основи для нашої думки iз застереженням.</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Суттєва невизначенiсть, що стосується безперервностi дiяльностi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звертаємо увагу на примiтку 1.2. до окремої фiнансової звiтностi, в якiй описуються умови функцiонування та економiчна ситуацiя в Українi протягом 2024 року, спричиненi подiєю повномасштабної вiйни, розв'язаної рф, яка ще триває та продовжує негативно впливати на дiяльнiсть Компанiї та країни в цiлому.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Як зазначено в примiтках 1.2 та 1.3, наслiдки подальшого розвитку повномасштабної вiйни та термiни її завершення залишаються невизначеними. Цi подiї та умови подовжують iснування суттєвої невизначеностi, що може поставити пiд значний сумнiв здатнiсть Компанiї продовжувати свою дiяльнiсть на безперервнiй основi. Нашу думку не було модифiковано щодо цього питання.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Пояснювальний параграф</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Вiдповiдно до чинного законодавства станом на дату цього аудиторського звiту окрема фiнансова звiтнiсть Компанiї повинна бути складена в єдиному електронному форматi (iXBRL). Як описано у примiтцi 1.4 до окремої фiнансової звiтностi, станом на дату цього аудиторського звiту управлiнський персонал Компанiї не мав можливостi пiдготувати пакет звiтностi у форматi iXBRL, та планує пiдготувати i подати цей пакет звiтностi, коли з'явиться така можливiсть.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Аудиторський звiт щодо окремої фiнансової звiтностi повинен розглядатися разом з окремою фiнансовою звiтнiстю, що додається. Звiтнiсть у форматi iXBRL є електронною формою фiнансової звiтностi, що пiдлягала аудиту, та не замiнює цi звiти. Нашу думку не було модифiковано щодо цього питання.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Ключовi питання аудиту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Ключовi питання аудиту - це питання, що, на наше професiйне судження, були найбiльш значущими пiд час нашого аудиту окремої фiнансової звiтностi за поточний перiод. Цi питання розглядалися в контекстi нашого аудиту окремої фiнансової звiтностi в цiлому та враховувались при формуваннi думки щодо неї, при цьому ми не висловлюємо окремої думки щодо цих питань.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Додатково до питання, описаного у роздiлi "Основа для думки iз застереженням" та у роздiлi "Суттєва невизначенiсть, що стосується безперервностi дiяльностi", ми визначили, що описанi нижче питання є ключовими питаннями аудиту, про якi слiд повiдомити у нашому звiтi.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питання</w:t>
      </w:r>
      <w:r>
        <w:rPr>
          <w:rFonts w:ascii="Times New Roman CYR" w:hAnsi="Times New Roman CYR" w:cs="Times New Roman CYR"/>
          <w:sz w:val="24"/>
          <w:szCs w:val="24"/>
        </w:rPr>
        <w:tab/>
        <w:t>Опис аудиторських процедур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Станом на 31.12.2024 року загальний розмiр дебiторської заборгованостi за товари, роботи послуги з вирахуванням резерву очiкуваних кредитних збиткiв склав 243 163 тис. грн. Дебiторська заборгованiсть за розрахунками за виданими авансами становить 908 420 тис. грн. та iнша поточна дебiторська заборгованiсть становить 18 073 тис. грн. Визнання витрат пiд резерв очiкуваних кредитних збиткiв та знецiнення дебiторської заборгованостi є одним iз ключових оцiночних суджень керiвництва Компанiї.</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Наша особлива аудиторська увага до цього питання спричинена, перш за все тим, що дебiторська заборгованiсть за продукцiю, товари, роботи, послуги, за розрахунками за виданими авансами та iнша поточна дебiторська заборгованiсть є суттєвими статтями балансу (звiту про фiнансовий стан). Станом на 31.12.2024 дебiторська заборгованiсть за продукцiю, товари, роботи, послуги складає бiльше 48 % вартостi активiв Компанiї. Окрiм того, виникнення дебiторської заборгованостi за продукцiю, товари, роботи, послуги безпосередньо пов'язано з доходами, якi, в свою чергу, теж є суттєвою складовою фiнансової звiтностi Компанiї.</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щодо суттєвих облiкових полiтик  наведена у Примiтцi 2, розкриття та детальна iнформацiя про дебiторську заборгованiсть наведена у Примiтках 5.16, 5,17 та 5.18.</w:t>
      </w:r>
      <w:r>
        <w:rPr>
          <w:rFonts w:ascii="Times New Roman CYR" w:hAnsi="Times New Roman CYR" w:cs="Times New Roman CYR"/>
          <w:sz w:val="24"/>
          <w:szCs w:val="24"/>
        </w:rPr>
        <w:tab/>
        <w:t>Ми оцiнили шляхом iнспектування облiкову полiтику Компанiї щодо визнання дебiторської заборгованостi та щодо оцiнки дебiторської заборгованостi за справедливою вартiстю вiдповiдно до МСФЗ 9 "Фiнансовi iнструменти" та МСБО 36 "Зменшення корисностi активiв".</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виконали вибiркову перевiрку коректностi класифiкацiї сум дебiторської заборгованостi для їх подальшої оцiнки в залежностi вiд характеристик кредитного ризику i термiнiв прострочення.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виконали вибiркову перевiрку щодо термiнiв виникнення дебiторської заборгованостi покупцiв та замовникiв, iнших дебiторiв для пiдтвердження тривалостi перiоду прострочення платежу. Розглянули умови поставки товарiв, робiт, послуг для дебiторської заборгованостi за розрахунками за виданими авансами.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Ми перевiрили математичну точнiсть розрахункiв в прогнознiй моделi, оцiнили основнi вхiднi данi, </w:t>
      </w:r>
      <w:r>
        <w:rPr>
          <w:rFonts w:ascii="Times New Roman CYR" w:hAnsi="Times New Roman CYR" w:cs="Times New Roman CYR"/>
          <w:sz w:val="24"/>
          <w:szCs w:val="24"/>
        </w:rPr>
        <w:lastRenderedPageBreak/>
        <w:t>використанi в розрахунках шляхом зiставлення з представленими даними, припущеннями керiвництва, макроекономiчними припущеннями i нашими власними знаннями та досвiдом в оцiнцi.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запросили зовнiшнє пiдтвердження дебiторської заборгованостi та проаналiзували матерiали отриманих зовнiшнiх пiдтверджень розрахункiв з контрагентами по проведеним запитам.</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Перевiрили повноту розкриття iнформацiї щодо цього питання у примiтках до фiнансової звiтностi Компанiї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Визнання доходу вiд реалiзацiї продукцiї (товарiв, робiт, послуг)</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Опис облiкової полiтики щодо визнання доходу наведено у примiтцi 2. Визнання чистого доходу вiд реалiзацiї продукцiї розглядається у примiтцi 5.1.</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Основною дiяльнiстю Компанiї є виробництво та продаж автомобiлiв марки ?koda.</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Наша особлива аудиторська увага до цього питання спричинена, перш за все, тим, що стаття "Чистий дохiд вiд реалiзацiї продукцiї (товарiв, робiт, послуг)" звiту про фiнансовi результати (звiту про сукупний дохiд) за 2024 рiк в сумi 4 763 140 тис. грн. має суттєвий вплив на фiнансовi результати дiяльностi Компанiї. Крiм того, в зв'язку з великою кiлькiстю первинних документiв та їх обробки групою фахiвцiв Компанiї це питання виявилося особливим та значущим в контекстi нашого аудиту фiнансової звiтностi.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Враховуючи це, питання облiку, повноти та своєчасностi визнання доходiв вiд основної дiяльностi вiдповiдно до МСФЗ 15 "Дохiд вiд договорiв з клiєнтами", ми визнали ключовим питанням аудиту.</w:t>
      </w:r>
      <w:r>
        <w:rPr>
          <w:rFonts w:ascii="Times New Roman CYR" w:hAnsi="Times New Roman CYR" w:cs="Times New Roman CYR"/>
          <w:sz w:val="24"/>
          <w:szCs w:val="24"/>
        </w:rPr>
        <w:tab/>
        <w:t>Ми оцiнили шляхом iнспектування облiкову полiтику Компанiї щодо визнання доходу на предмет її вiдповiдностi вимогам МСФЗ 15 "Дохiд вiд договорiв з клiєнтами".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вивчили умови договорiв з ключовими контрагентами.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зробили вибiрку та отримали пiдтвердження вiд контрагентiв Компанiї щодо балансiв дебiторської заборгованостi на звiтну дату.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протестували вибiрку операцiй по визнанню доходу i перевiрили, що вони були визнанi у належному перiодi та у вiдповiдних сумах.</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виконали аналiтичнi процедури щодо визнання доходiв з метою виявлення неочiкуваних вiдхилень, а також порiвняння результатiв поточної дiяльностi з показниками за минулий перiод.</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перевiрили, що Компанiя облiковує доходи та витрати за окремими зобов'язаннями виконання за договорами продажу вiдповiдно до МСФЗ 15 "Дохiд вiд договорiв з клiєнтами".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Перевiрили повноту розкриття iнформацiї щодо цього питання у примiтках до фiнансової звiтностi Компанiї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що не є окремою фiнансовою звiтнiстю та звiтом аудитора щодо неї</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Управлiнський персонал Компанiї несе вiдповiдальнiсть за iншу iнформацiю, пiдготовлену станом на 31.12.2024 та за рiк, що закiнчився на зазначену дату. Iнша iнформацiя складається з:</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окремого Звiту керiвництва (звiту про управлiння), складеного на виконання ст. 11 Закону України "Про бухгалтерський облiк та фiнансову звiтнiсть в Українi" №996-XIV вiд 16.07.1999 р. (iз змiнами та доповненнями);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звiту про корпоративне управлiння, складеного на виконання ст. 127 Закону України "Про ринки капiталу та органiзованi товарнi ринки" №3480-IV вiд 23.02.2006 р (iз змiнами та доповненнями) та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Нацiональної комiсiї з цiнних паперiв та фондового ринку № 608 вiд 06.06.2023 (iз змiнами та доповненнями);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рiчної iнформацiї про емiтента за 2024 рiк, складеної вiдповiдно до ст.126 Закону України "Про ринки капiталу та органiзованi товарнi ринки" №3480-IV вiд 23.02.2006 р (iз змiнами та доповненнями), та з врахуванням вимог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Нацiональної комiсiї з цiнних паперiв та фондового ринку № 608 вiд 06.06.2023 (iз змiнами та доповненнями).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Наша думка щодо окремої фiнансової звiтностi Компанiї не поширюється на iншу iнформацiю та ми не робимо висновок з будь-яким рiвнем впевненостi щодо цiєї iншої iнформацiї. Нашу думку щодо Звiту про корпоративне управлiння, який є складовою частиною Рiчної iнформацiї про емiтента та окремого Звiту керiвництва (звiту про управлiння) за 2024 рiк викладено в роздiлi "Звiт щодо вимог iнших законодавчих i нормативних актiв".</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 зв'язку з нашим аудитом окремої фiнансової звiтностi нашою вiдповiдальнiстю є ознайомитися з вищевказаною iншою iнформацiєю та при цьому розглянути, чи iснує суттєва невiдповiднiсть мiж iншою iнформацiєю i окремою фiнансовою звiтнiстю або нашими знаннями, отриманими пiд час аудиту, або чи ця iнша iнформацiя виглядає такою, що мiстить суттєве викривлення. Якщо на основi проведеної нами роботи ми доходимо висновку, що iснує суттєве викривлення цiєї iншої iнформацiї, ми зобов'язанi повiдомити про цей факт.</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Окремий Звiт керiвництва (звiт про управлiння)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Компанiя пiдготувала окремий Звiт керiвництва (звiт про управлiння) за 2024 рiк. За виключенням можливого впливу питання, описаного у роздiлi "Основа для думки iз застереженням" нашого звiту, ми не виявили суттєву невiдповiднiсть мiж iншою iнформацiєю у окремому Звiтi керiвництва (звiтi про управлiння) за 2024 рiк та окремою фiнансовою звiтнiстю або нашими знаннями, отриманими пiд час аудиту, або того, чи ця iнформацiя має вигляд такої, що мiстить суттєве викривлення, та ми не виявили таких фактiв, якi б необхiдно було включити до нашого звiту незалежного аудитора.</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Рiчна iнформацiя про емiтента цiнних паперiв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Компанiя планує пiдготувати й оприлюднити Рiчну iнформацiю емiтента цiнних паперiв за 2024 рiк пiсля дати оприлюднення цього звiту незалежного аудитора. Пiсля отримання та ознайомлення з Рiчною iнформацiєю про емiтента цiнних паперiв за 2024 рiк, якщо ми дiйдемо висновку, що в ньому iснує суттєве викривлення, ми повiдомимо про це питання додатково Наглядову раду.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Вiдповiдальнiсть управлiнського персоналу та Наглядової ради за окрему фiнансову звiтнiсть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Управлiнський персонал несе вiдповiдальнiсть за складання i достовiрне подання окремої фiнансової </w:t>
      </w:r>
      <w:r>
        <w:rPr>
          <w:rFonts w:ascii="Times New Roman CYR" w:hAnsi="Times New Roman CYR" w:cs="Times New Roman CYR"/>
          <w:sz w:val="24"/>
          <w:szCs w:val="24"/>
        </w:rPr>
        <w:lastRenderedPageBreak/>
        <w:t>звiтностi вiдповiдно до Мiжнародних стандартiв фiнансової звiтностi та вимог Закону України "Про бухгалтерський облiк та фiнансову звiтнiсть в Українi" та за таку систему внутрiшнього контролю, яку управлiнський персонал визначає потрiбною для того, щоб забезпечити складання окремої фiнансової звiтностi, що не мiстить суттєвих викривлень внаслiдок шахрайства або помилки.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 складаннi окремої фiнансової звiтностi управлiнський персонал несе вiдповiдальнiсть за оцiнку здатностi Компанiї продовжувати свою дiяльнiсть на безперервнiй основi, розкриваючи, де це застосовно, питання, що стосуються безперервностi дiяльностi, та використовуючи припущення про безперервнiсть дiяльностi як основи для бухгалтерського облiку, крiм випадкiв, якщо управлiнський персонал або планує лiквiдувати Компанiю чи припинити дiяльнiсть, або не має iнших реальних альтернатив цьому.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 несе вiдповiдальнiсть за нагляд за процесом фiнансового звiтування Компанiї.</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Вiдповiдальнiсть аудитора за аудит окремої фiнансової звiтностi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Нашими цiлями є отримання обгрунтованої впевненостi, що окрема фiнансова звiтнiсть у цiлому не мiстить суттєвого викривлення внаслiдок шахрайства або помилки, та випуск звiту аудитора, який мiстить нашу думку. Обгрунтована впевненiсть є високим рiвнем впевненостi, проте не гарантує, що аудит, проведений вiдповiдно до МСА, завжди виявить суттєве викривлення, якщо таке iснує. Викривлення можуть бути результатом шахрайства або помилки; вони вважаються суттєвими, якщо окремо або в сукупностi, як обгрунтовано очiкується, вони можуть впливати на економiчнi рiшення користувачiв, що приймаються на основi цiєї окремої фiнансової звiтностi.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Виконуючи аудит вiдповiдно до вимог МСА, ми використовуємо професiйне судження та професiйний скептицизм протягом усього завдання з аудиту.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Крiм того, 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iдентифiкуємо та оцiнюємо ризики суттєвого викривлення окремої фiнансової звiтностi внаслiдок шахрайства чи помилки, розробляємо й виконуємо аудиторськi процедури у вiдповiдь на цi ризики, а також отримуємо аудиторськi докази, що є достатнiми та прийнятними для використання їх як основи для нашої думки. Ризик невиявлення суттєвого викривлення внаслiдок шахрайства є вищим, нiж для викривлення внаслiдок помилки, оскiльки шахрайство може включати змову, пiдробку, навмиснi пропуски, неправильнi твердження або нехтування заходами внутрiшнього контролю;</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отримуємо розумiння заходiв внутрiшнього контролю, що стосуються аудиту, для розробки аудиторських процедур, якi б вiдповiдали обставинам, а не для висловлення думки щодо ефективностi системи внутрiшнього контролю;</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оцiнюємо прийнятнiсть застосованих облiкових полiтик та обгрунтованiсть облiкових оцiнок i вiдповiдних розкриттiв iнформацiї, зроблених управлiнським персоналом;</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доходимо висновку щодо прийнятностi використання управлiнським персоналом припущення про безперервнiсть дiяльностi як основи для бухгалтерського облiку та на основi отриманих аудиторських доказiв робимо висновок, чи iснує суттєва невизначенiсть щодо подiй або умов, якi поставили б пiд значний сумнiв можливiсть Компанiї продовжити безперервну дiяльнiсть. Якщо ми доходимо висновку щодо iснування такої суттєвої невизначеностi, ми повиннi привернути увагу в своєму звiтi аудитора до вiдповiдних розкриттiв iнформацiї у окремiй фiнансовiй звiтностi або, якщо </w:t>
      </w:r>
      <w:r>
        <w:rPr>
          <w:rFonts w:ascii="Times New Roman CYR" w:hAnsi="Times New Roman CYR" w:cs="Times New Roman CYR"/>
          <w:sz w:val="24"/>
          <w:szCs w:val="24"/>
        </w:rPr>
        <w:lastRenderedPageBreak/>
        <w:t>такi розкриття iнформацiї є неналежними, модифiкувати свою думку. Нашi висновки грунтуються на аудиторських доказах, отриманих до дати нашого звiту аудитора. Втiм майбутнi подiї або умови можуть примусити Компанiю припинити свою дiяльнiсть на безперервнiй основi.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оцiнюємо загальне подання, структуру та змiст окремої фiнансової звiтностi включно з розкриттями iнформацiї, а також те, чи показує окрема фiнансова звiтнiсть операцiї та подiї, що покладенi в основу її складання, та, щоб досягти достовiрного подання.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Ми повiдомляємо Наглядову раду разом з iншими питаннями iнформацiю про запланований обсяг i час проведення аудиту та суттєвi аудиторськi результати, включаючи будь-якi значнi недолiки системи внутрiшнього контролю, виявленi нами пiд час аудиту.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Ми також надаємо Наглядовiй радi твердження, що ми виконали вiдповiднi етичнi вимоги щодо незалежностi, та повiдомляємо їм про всi стосунки й iншi питання, якi могли б обгрунтовано вважатись такими, що впливають на нашу незалежнiсть, а також, де це застосовно, щодо вiдповiдних застережних заходiв. </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перелiку всiх питань, iнформацiя щодо яких надавалась Наглядовiй радi ми визначили тi, що були найбiльш значущими пiд час аудиту окремої фiнансової звiтностi поточного перiоду, тобто тi, якi є ключовими питаннями аудиту. Ми описуємо цi питання в нашому звiтi аудитора крiм випадкiв, якщо законодавчим чи регуляторним актом заборонено публiчне розкриття такого питання, або коли за вкрай виняткових обставин ми визначаємо, що таке питання не слiд висвiтлювати в нашому звiтi, оскiльки негативнi наслiдки такого висвiтлення можуть очiкувано переважити його кориснiсть для iнтересiв громадськостi.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ЩОДО ВИМОГ IНШИХ ЗАКОНОДАВЧИХ I НОРМАТИВНИХ АКТIВ</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щодо Звiту про корпоративне управлiння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Наведена нижче iнформацiя представлена на виконання вимог ст.127 Закону України "Про ринки капiталу та органiзованi товарнi ринки" №3480-IV вiд 23.02.2006 р. (iз змiнами та доповненнями) (далi - Закон №3480-IV) стосовно висловлення думки щодо iнформацiї, зазначеної у пунктах 5-9 частини 3 ст.127 та перевiрки iнформацiї, зазначеної у пунктах 1-4 частини 3 ст. 127 Закону №3480-IV вiдносно Звiту про корпоративне управлiння Компанiї, який буде включено до Рiчної iнформацiї про емiтента цiнних паперiв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пiдставi роботи, проведеної нами пiд час аудиту, ми прийшли до висновку, що iнформацiя, а саме: опис основних характеристик систем внутрiшнього контролю i управлiння ризиками Компанiї; перелiк осiб, якi прямо або опосередковано є власниками значного пакета акцiй Компанiї; iнформацiя про будь-якi обмеження прав участi та голосування акцiонерiв (учасникiв) на загальних зборах емiтента; порядок призначення та звiльнення посадових осiб Компанiї; повноваження посадових осiб Компанiї, розкрита у Звiтi про корпоративне управлiння Компанiї станом на 31.12.2024 року, як вимагається пп.5-9 частини 3 ст.127 Закону №3480-IV.</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Крiм того, ми перевiрили iнформацiю включену до Звiту про корпоративне управлiння, розкриття якої вимагається пп.1-4 частини 3 ст.127 Закону №3480-IV, а саме:</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посилання на власний кодекс корпоративного управляння, яким керується Компанiя, об'єднання юридичних осiб або iнший кодекс корпоративного управлiння, який Компанiя добровiльно вирiшила </w:t>
      </w:r>
      <w:r>
        <w:rPr>
          <w:rFonts w:ascii="Times New Roman CYR" w:hAnsi="Times New Roman CYR" w:cs="Times New Roman CYR"/>
          <w:sz w:val="24"/>
          <w:szCs w:val="24"/>
        </w:rPr>
        <w:lastRenderedPageBreak/>
        <w:t>застосовувати з розкриттям вiдповiдної iнформацiї про практику корпоративного управлiння, застосовувану понад визначенi законодавством вимоги;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пояснення емiтента щодо причин вiдхилення та частини кодексу корпоративного управлiння, вiд яких вiдхиляється емiтент;</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iнформацiя про проведенi загальнi збори акцiонерiв (учасникiв) та загальний опис прийнятих на зборах рiшень;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про персональний склад Наглядової ради та колегiального виконавчого органу Компанiї, їхнiх комiтетiв (за наявностi), iнформацiю про проведенi засiдання та загальний опис прийнятих на них рiшень.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Iнформацiя, яка мiститься в Звiтi про корпоративне управлiння за 2024 рiк розкрита вiдповiдно до вимог пунктiв 1-4 частини 3 ст.127 Закону №3480-IV та узгоджується з окремою фiнансовою звiтнiстю.</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 щодо вимог Нацiональної комiсiї з цiнних паперiв та фондового ринку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Наведена нижче iнформацiя представлена на виконання Вимог до iнформацiї, що стосується аудиту або огляду фiнансової звiтностi учасникiв ринкiв капiталу та органiзованих товарних ринкiв, нагляд за якими здiйснює Нацiональна комiсiя з цiнних паперiв та фондового ринку, затверджених Рiшенням НКЦПФР вiд 27.07.2021 року № 555:</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стосовно висловлення думки щодо повного розкриття ПРИВАТНИМ АКЦIОНЕРНИМ ТОВАРИСТВОМ "ЄВРОКАР" iнформацiї про кiнцевого бенефiцiарного власника (у разi наявностi) та структури власностi станом на дату аудиту вiдповiдно до вимог, встановлених Положенням про форму та змiст структури власностi, затвердженим наказом Мiнiстерства фiнансiв України вiд 19 березня 2021 року № 163, зареєстрованим в Мiнiстерствi юстицiї України 08 червня 2021 року за № 768/3639.</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основi нашого аудиту, нiщо не привернуло нашої уваги, що б змусило нас вважати, що iнформацiя про кiнцевого бенефiцiарного власника та структура власностi ПрАТ "ЄВРОКАР" станом на дату аудиту не вiдповiдає вимогам, встановлених Положенням про форму та змiст структури власностi, затвердженим наказом Мiнiстерства фiнансiв України вiд 19 березня 2021 року № 163, зареєстрованим в Мiнiстерствi юстицiї України 08 червня 2021 року за № 768/3639.</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стосовно наведеної iнформацiї про те, чи є суб'єкт господарювання контролером/учасником небанкiвської фiнансової групи; пiдприємством, що становить суспiльний iнтерес.</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 є пiдприємством, що становить суспiльний iнтерес, вiдповiдно до Закону України "Про бухгалтерський обiк та фiнансову звiтнiсть в Українi" вiд 16.07.1999 року № 996-XIV. Компанiя не є контролером/учасником небанкiвської фiнансової групи.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стосовно наведеної iнформацiї про наявнiсть у суб'єкта господарювання материнських/дочiрнiх компанiй iз зазначенням найменування, органiзацiйно-правової форми, мiсцезнаходження (у разi наявностi).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Безпосередня материнська компанiя - ТОВАРИСТВО З ОБМЕЖЕНОЮ ВIДПОВIДАЛЬНIСТЮ "АТОЛЛ ХОЛДIНГ" (код 31237888), мiсцезнаходження: 03062, Україна, м. Київ, пр. Перемоги, буд.67.</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Кiнцева материнська компанiя - AG BUSINESS ALLIANCE LIMITED, Кiпр.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Дочiрня компанiя - ТОВАРИСТВО З ОБМЕЖЕНОЮ ВIДПОВIДАЛЬНIСТЮ "РIК" (код 32784477), мiсцезнаходження: 89460, Україна, Закарпатська область, Ужгородський район, с. Соломоново, вул. Перемоги, 46.</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Додаткова iнформацiя вiдповiдно до Закону України "Про аудит фiнансової звiтностi та аудиторську дiяльнiсть"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Наведена нижче iнформацiя представлена на виконання вимог частини 4 ст.14 Закону України "Про аудит фiнансової звiтностi та аудиторську дiяльнiсть" №2258-VIII вiд 21.12.2017 року (зi змiнами та доповненнями), яка є обов'язковою для надання за результатами аудиту пiдприємства, що становить суспiльний iнтерес.</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ТОВ АФ "Аудит-Iнвест" було призначено аудитором Компанiї Наглядовою радою ПрАТ "ЄВРОКАР" 30 сiчня 2019 року, протокол засiдання №02. Iнформування Нацiональної комiсiї з цiнних паперiв та фондового ринку про призначення аудитора проведено в установленому законодавством порядку. Договiр на надання послуг з обов'язкового аудиту укладено на термiн 10 рокiв.</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Загальна тривалiсть виконання нами завдання з обов'язкового аудиту Компанiї з урахуванням продовження повноважень, якi мали мiсце, та повторених призначень становить 7 рокiв, починаючи з року, що закiнчився 31 грудня 2018 р. по рiк, що закiнчився 31 грудня 2024 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У роздiлi "Ключовi питання аудиту" цього звiту нами наведено опис та надано оцiнку значущих ризикiв, наведено посилання на вiдповiднi статтi та iнше розкриття iнформацiї у окремiй фiнансовiй звiтностi, а також наведено опис виконаних аудиторських процедур, вжитих для їх врегулювання. За результатами виконаних аудиторських процедур, результат оцiнки найбiльш значущих ризикiв суттєвого викривлення iнформацiї у окремiй фiнансовiй звiтностi Компанiї, що перевiряється, у тому числi внаслiдок шахрайства, є прийнятним.</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Думка аудитора, що наведена в нашому аудиторському звiтi, узгоджується з додатковим звiтом для Наглядової ради та органу, на який покладено функцiї Аудиторського комiтету ПрАТ "ЄВРОКАР".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Протягом 2024 року та у перiод з 1 сiчня до дати пiдписання цього звiту незалежного аудитора, ТОВ АФ "Аудит-Iнвест" не надавало ПрАТ "ЄВРОКАР" неаудиторськi послуги, обмеження щодо яких встановлено ст.6 Закону України "Про аудит фiнансової звiтностi та аудиторську дiяльнiсть" №2258-VIII вiд 21.12.2017 року (зi змiнами та доповненнями).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ТОВ АФ "Аудит-Iнвест" та ключовий партнер з аудиту є незалежними по вiдношенню до ПрАТ "ЄВРОКАР" згiдно з Мiжнародним кодексом етики професiйних бухгалтерiв (включаючи Мiжнароднi стандарти незалежностi) Ради з Мiжнародних стандартiв етики для бухгалтерiв ("Кодекс РМСЕБ") та етичними вимогами, застосовними в Українi до нашого аудиту окремої фiнансової звiтностi, а також виконали iншi обов'язки з етики вiдповiдно до цих вимог та Кодексу РМСЕБ.</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Протягом 2024 року та у перiод з 1 сiчня до дати пiдписання цього звiту, крiм послуг з обов'язкового аудиту для ПрАТ "ЄВРОКАР", iншi послуги ПрАТ "ЄВРОКАР" або контрольованим ним суб'єктам господарювання ТОВ АФ "Аудит-Iнвест" не надавалися.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 xml:space="preserve">У роздiлах "Звiт щодо аудиту окремої фiнансової звiтностi" та "Вiдповiдальнiсть аудитора за </w:t>
      </w:r>
      <w:r>
        <w:rPr>
          <w:rFonts w:ascii="Times New Roman CYR" w:hAnsi="Times New Roman CYR" w:cs="Times New Roman CYR"/>
          <w:sz w:val="24"/>
          <w:szCs w:val="24"/>
        </w:rPr>
        <w:lastRenderedPageBreak/>
        <w:t>аудит окремої фiнансової звiтностi" цього звiту незалежного аудитора розкрито iнформацiю щодо обсягiв аудиту та властивих для аудиту обмежень.</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Додатки:</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Баланс (Звiт про фiнансовий стан) станом на 31.12.2024 року,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Звiт про фiнансовi результати (Звiт про сукупний дохiд)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Звiт про рух грошових коштiв (за прямим методом)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Звiт про власний капiтал за 2024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Звiт про власний капiтал за 2023 рiк,</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Примiтки до окремої фiнансової звiтностi, включаючи стислий виклад значущих облiкових полiтик за рiк, що закiнчився станом на 31 грудня 2024 року.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Ключовим партнером iз завдання з аудиту, результатом якого є цей звiт незалежного аудитора, є аудитор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Лозицький Вадим Андрiйович </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_________________________</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у Реєстрi аудиторiв та суб'єктiв аудиторської дiяльностi № 100609</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i вiд iменi фiрми ТОВ АФ "Аудит-Iнвест"</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Єльченко Ольга Миколаївна</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__________________________</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Реєстровий номер у Реєстрi аудиторiв та суб'єктiв аудиторської дiяльностi № 101055</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березня 2025 року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Основнi вiдомостi про аудиторську фiрму: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Аудиторська фiрма "Аудит-Iнвест",</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Код за ЄДРПОУ: 32241880</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Реєстровий номер у Реєстрi аудиторiв та суб'єктiв аудиторської дiяльностi №3094</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м. Днiпро, пр. Пушкiна, буд.25/27, тел./факс +38 (056) 745-14-05 </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веб-сайт: https://audit-invest.com.ua/ </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Основнi вiдомостi про умови договору про проведення аудиту: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та дата договору на проведення аудиту: №24-04-19/А вiд 04.04.2019 року, додаткова угода № 15 вiд 17.09.2024 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початку та дата закiнчення проведення аудиту: 17.09.2024 р. по 20.03.2025 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Звiтний перiод, за який проведено аудит окремої фiнансової звiтностi: з 01.01.2024 р. по 31.12.2024 р.</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комiсiї з припинення Боярин О.П. повiдомляє про те, що наскiльки це йому вiдомо 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i юридичних осiб, якi перебувають пiд його контролем, у рамках консолiдованої фiнансової звiтностi. Звiт керiвництва включає достовiрне та об'єктивне подання iнформацiї про розвиток i здiйснення господарської дiяльностi та стан емiтента i юридичних осiб, якi перебувають пiд його контролем, у рамках консолiдованої звiтностi разом з описом основних ризикiв та невизначеностей, з якими вони стикаються у своїй господарськiй дiяльностi.</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5. Значні правочини та правочини із заінтересованістю</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500"/>
        <w:gridCol w:w="7850"/>
      </w:tblGrid>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URL-адреса вебсайту, на якій розміщена інформація</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07.05.2024</w:t>
            </w:r>
          </w:p>
        </w:tc>
        <w:tc>
          <w:tcPr>
            <w:tcW w:w="78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https://www.skoda-auto.ua/company/emitent-info-2024</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sectPr w:rsidR="00D275D9">
          <w:pgSz w:w="12240" w:h="15840"/>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3000"/>
        <w:gridCol w:w="3000"/>
        <w:gridCol w:w="1500"/>
        <w:gridCol w:w="1500"/>
        <w:gridCol w:w="4400"/>
      </w:tblGrid>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прийняття рішення про надання згоди на вчинення значного правочину</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URL-адреса вебсайту, на якій розміщена інформація</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Орган управління, що прийняв рішення</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вчинення правочину</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Ринкова вартість правочину</w:t>
            </w:r>
          </w:p>
        </w:tc>
        <w:tc>
          <w:tcPr>
            <w:tcW w:w="4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Предмет правочину</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w:t>
            </w:r>
          </w:p>
        </w:tc>
        <w:tc>
          <w:tcPr>
            <w:tcW w:w="44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7</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07.05.2024</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https://www.skoda-auto.ua/company/emitent-info-2024 </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Загальнi збори акцiонерiв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01.10.2024</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519 930,11</w:t>
            </w:r>
          </w:p>
        </w:tc>
        <w:tc>
          <w:tcPr>
            <w:tcW w:w="44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Додаткова угода вiд 01.10.2024 року про внесення змiн до Договору позики №38-СВ вiд 28.10.2009 року, укладений ПрАТ "Єврокар" з Атоллендо Консалтинг Лiмiтед (Atollendo Consulting Limited), про внесення змiн до Договору</w:t>
            </w:r>
          </w:p>
        </w:tc>
      </w:tr>
      <w:tr w:rsidR="00D275D9" w:rsidRPr="00D275D9">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07.05.2024</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https://www.skoda-auto.ua/company/emitent-info-2024 </w:t>
            </w:r>
          </w:p>
        </w:tc>
        <w:tc>
          <w:tcPr>
            <w:tcW w:w="30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Загальнi збори акцiонерiв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01.10.2024</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826 734,22</w:t>
            </w:r>
          </w:p>
        </w:tc>
        <w:tc>
          <w:tcPr>
            <w:tcW w:w="44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Додаткова угода вiд 01.10.2024 року про внесення змiн до Договору позики №11258542000 вiд 27.11.2007 р., укладений ПрАТ "Єврокар" з Атоллендо Консалтинг Лiмiтед (Atollendo Consulting Limited), про внесення змiн до Договору</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sectPr w:rsidR="00D275D9">
          <w:pgSz w:w="16837" w:h="11905" w:orient="landscape"/>
          <w:pgMar w:top="570" w:right="720" w:bottom="570" w:left="720" w:header="708" w:footer="708" w:gutter="0"/>
          <w:cols w:space="720"/>
          <w:noEndnote/>
        </w:sect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IV. Нефінансова інформація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2024-й рiк був нелегким у дiяльностi ПрАТ "ЄВРОКАР" - головними викликами у 2024 роцi були не лише робота в умовах невизначеностi, з чим пiд час повномасштабної вiйни стикається абсолютно кожна українська компанiя, а й збереження команди, яка є для нас найвищою цiннiстю.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Цей рiк був також роком розбудови та вдосконалення внутрiшнiх процесiв, якi є важливим фактором стабiльностi ПрАТ "ЄВРОКАР" та спрямованi на пiдвищення її стiйкостi та керованостi.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Протягом 2024 року наглядова рада здiйснювала захист прав акцiонерiв ПрАТ "ЄВРОКАР"  i в межах компетенцiї, визначеної чинним законодавством України та Статутом, здiйснювала управлiння ПрАТ "ЄВРОКАР" та спiльно з генеральним директором ПрАТ "ЄВРОКАР" забезпечувало реалiзацiю затверджених акцiонерами основних напрямкiв дiяльностi i планiв ПрАТ "ЄВРОКАР" на 2024 рiк.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Дякую Наглядовiй радi, Генеральному директору та всiй командi ПрАТ "ЄВРОКАР" за рiк, який ми пройшли разом!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Через усю складнiсть ведення бiзнесу в умовах воєнного стану, роботи в умовах невизначеностi та пiдвищених ризикiв, попри всi зусилля, спрямованi на реалiзацiю затверджених акцiонерами основних напрямкiв дiяльностi i планiв ПрАТ "ЄВРОКАР" на 2024 рiк, ПрАТ "ЄВРОКАР" за пiдсумками 2024 року був збитковим. Протягом 2024 року сума сплачених податкiв до бюджетiв усiх рiвнiв (з урахуванням митних платежiв) склала  966078,3 тис. грн.Товариством протягом року поряд з основним видом дiяльностi - виробництвом автомобiлiв, здiйснювалась дiяльнiсть i iнших напрямках ведення господарської дiяльностi, виходячи з функцiональних можливостей виробничих та iнфраструктурних потужностей Товариства та нагальних потреб ринку.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Зусилля всiєї команди, злагоджена робота менеджменту та стратегiчний напрямок дiяльностi Наглядової ради, забезпечили можливiсть Товариству долати усi складнощi ведення бiзнесу та продовжувати подальший розвиток Товариства. </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Дякую Наглядовiй радi та всiй командi ПрАТ "ЄВРОКАР" за рiк, який ми пройшли разом!</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 (попереднє найменування - закрите акцiонерне товариство "ЄВРОКАР") - господарське товариство, статутний капiтал якого подiлено на визначену кiлькiсть акцiй однакової номiнальної вартостi, корпоративнi права за якими посвiдчуються акцiями, яке створене згiдно з законодавчими актами України. Змiна найменування Товариства була здiйснена на виконання вимог Закону України "Про акцiонернi товариства". Товариство у своїй дiяльностi керується Законом України "Про акцiонернi товариства", Цивiльним Кодексом України, iншими нормативними актами України, положеннями цього Статуту, а також внутрiшнiми правилами, процедурами, регламентами та iншими локальними правовими актами Товариства, прийнятими вiдповiдно до цього Статуту. Мiсцезнаходження Товариства: 89460, Україна, Закарпатська область, Ужгородський район, село Соломоново, вулиця Перемоги, 46. Товариство було створено на невизначений строк дiяльностi.</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напрямком дiяльностi Товариства є виробництво автотранспортних засобiв. Перспективним напрямком дiяльностi Товариства може стати використання iснуючої транспортної iнфраструктури для надання логiстичних послуг.Для Товариства є прiоритетною полiтика оптимiзацiї статей витрат.</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не укладало деривативних контрактiв та не вчиняло правочинiв щодо деривативних цiнних </w:t>
      </w:r>
      <w:r>
        <w:rPr>
          <w:rFonts w:ascii="Times New Roman CYR" w:hAnsi="Times New Roman CYR" w:cs="Times New Roman CYR"/>
          <w:sz w:val="24"/>
          <w:szCs w:val="24"/>
        </w:rPr>
        <w:lastRenderedPageBreak/>
        <w:t>паперiв.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завдання та полiтику емiтента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деривативних контрактiв та не вчиняло правочинiв щодо деревативних цiнних паперiв, якi впливають на оцiнку активiв, зобов'язань, фiнансового стану i доходiв або витрат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схильнiсть емiтента до цiнових ризикiв, кредитного ризику, ризику лiквiдностi та/або ризику грошових потокiв не надається, тому що Товариство не укладало деривативних контрактiв та не вчиняло правочинiв щодо деривативних цiнних паперiв, якi впливають на оцiнку активiв, зобов'язань, фiнансового стану i доходiв або витрат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1) звіт про корпоративне управління</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 Інформація про кодекс корпоративного управління, яким керується особа, та/або практику корпоративного управління особи, застосовувану понад визначені законодавством вимоги</w:t>
      </w: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практику корпоративного управління особи, застосовувану понад визначені законодавством вимоги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000"/>
        <w:gridCol w:w="1500"/>
        <w:gridCol w:w="4500"/>
      </w:tblGrid>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Відповідність практики (Так/Ні)</w:t>
            </w:r>
          </w:p>
        </w:tc>
        <w:tc>
          <w:tcPr>
            <w:tcW w:w="45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Опис наявної практики/обґрунтування відхилення</w:t>
            </w: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1. Цілі особи</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 статуті та/або внутрішніх документах особи визначена мета щодо створення довгострокової сталої цінності в інтересах особи та її стейкхолдерів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2. Акціонери та стейкхолдери</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Права акціонерів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 Кожною простою акцiєю Товариства акцiонеру надається однакова сукупнiсть прав, включаючи права на: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w:t>
            </w:r>
            <w:r w:rsidRPr="00D275D9">
              <w:rPr>
                <w:rFonts w:ascii="Times New Roman CYR" w:eastAsiaTheme="minorEastAsia" w:hAnsi="Times New Roman CYR" w:cs="Times New Roman CYR"/>
                <w:sz w:val="24"/>
                <w:szCs w:val="24"/>
              </w:rPr>
              <w:tab/>
              <w:t>участь в управлiннi Товариством;</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w:t>
            </w:r>
            <w:r w:rsidRPr="00D275D9">
              <w:rPr>
                <w:rFonts w:ascii="Times New Roman CYR" w:eastAsiaTheme="minorEastAsia" w:hAnsi="Times New Roman CYR" w:cs="Times New Roman CYR"/>
                <w:sz w:val="24"/>
                <w:szCs w:val="24"/>
              </w:rPr>
              <w:tab/>
              <w:t>отримання дивiдендiв;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w:t>
            </w:r>
            <w:r w:rsidRPr="00D275D9">
              <w:rPr>
                <w:rFonts w:ascii="Times New Roman CYR" w:eastAsiaTheme="minorEastAsia" w:hAnsi="Times New Roman CYR" w:cs="Times New Roman CYR"/>
                <w:sz w:val="24"/>
                <w:szCs w:val="24"/>
              </w:rPr>
              <w:tab/>
              <w:t>отримання у разi лiквiдацiї Товариства частини його майна або вартостi частини майна Товариства;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w:t>
            </w:r>
            <w:r w:rsidRPr="00D275D9">
              <w:rPr>
                <w:rFonts w:ascii="Times New Roman CYR" w:eastAsiaTheme="minorEastAsia" w:hAnsi="Times New Roman CYR" w:cs="Times New Roman CYR"/>
                <w:sz w:val="24"/>
                <w:szCs w:val="24"/>
              </w:rPr>
              <w:tab/>
              <w:t>отримання iнформацiї про господарську дiяльнiсть Товариства.</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Права міноритарних акціонерів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1) загальні збори акціонерів</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Особи, які мають право брати участь у загальних зборах, мають </w:t>
            </w:r>
            <w:r w:rsidRPr="00D275D9">
              <w:rPr>
                <w:rFonts w:ascii="Times New Roman CYR" w:eastAsiaTheme="minorEastAsia" w:hAnsi="Times New Roman CYR" w:cs="Times New Roman CYR"/>
                <w:sz w:val="24"/>
                <w:szCs w:val="24"/>
              </w:rPr>
              <w:lastRenderedPageBreak/>
              <w:t>можливість отримувати додаткову інформацію достатню, щоб сформувати поінформовану думку щодо всіх питань, які розглядатимуться під час загальних зборів не менше, ніж за 30 днів до дати їх проведення</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Біографічні дані про кандидатів до складу органів управління, у тому числі про освіту та професійний досвід, розкриваються одночасно із повідомленням про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Особи, які мають право брати участь у загальних зборах, мають можливість голосувати, а також отримувати матеріали, пов'язані із загальними зборами, дистанційно (за допомогою засобів електронного зв'язку тощо)</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Керівник, фінансовий директор, більшість членів ради (більшість невиконавчих директорів ради директорів) і зовнішній аудитор беруть участь у річних загальних зборах</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Особи, які мають можливість брати участь у загальних зборах, мають можливість ставити усні запитання стосовно питань порядку денного і отримувати відповіді на них</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Детальний регламент проведення загальних зборів визначено статутом та/або внутрішніми документами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Протокол та рішення загальних зборів (включаючи кількість голосів, поданих "за" та "проти" кожного рішення), а також відповіді на ключові запитання, що були порушені під час загальних зборів, розкриваються протягом 5 робочих днів з дати проведення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Адреса вебсайту особи забезпечує надання всієї інформації, яка необхідна акціонерам для сприяння їх участі у загальних зборах та </w:t>
            </w:r>
            <w:r w:rsidRPr="00D275D9">
              <w:rPr>
                <w:rFonts w:ascii="Times New Roman CYR" w:eastAsiaTheme="minorEastAsia" w:hAnsi="Times New Roman CYR" w:cs="Times New Roman CYR"/>
                <w:sz w:val="24"/>
                <w:szCs w:val="24"/>
              </w:rPr>
              <w:lastRenderedPageBreak/>
              <w:t>інформування про рішення, ухвалені під час загальних зборів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https://www.skoda-auto.ua/company/prat-eurocar-info-for-shareholders </w:t>
            </w: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lastRenderedPageBreak/>
              <w:t>2) взаємодія з акціонерами</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Радою затверджено та розкрито політику взаємодії з акціонерами, яка визначає параметри взаємовідносин між особою та її акціонерами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Створено відділ (функцію) з питань взаємодії з інвесторами/акціонерами, який відповідає на запити інвесторів та сприяє участі акціонерів в управлінні особою, а також забезпечує можливість для міноритарних акціонерів донести свої погляди до уваги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3) поглинання</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Радою визначено принципи, як вона діятиме у разі пропозиції щодо поглинання, зокрема: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 не вчиняти дії щодо протидії поглинанню без відповідного рішення загальних зборів;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 надавати акціонерам збалансований аналіз недоліків і переваг будь-якої пропозиції щодо поглинання;</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 загальні збори приймають остаточне рішення про схвалення або відхилення пропозицій щодо поглинання</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 xml:space="preserve">4) інші стейкхолдери </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Радою затверджено та розкрито політику взаємодії зі стейкхолдерами, яка визначає параметри взаємовідносин між особою та її стейкхолдерами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Особою визначено перелік своїх стейкхолдерів, зокрема і тих, з якими необхідно налагодити безпосередню взаємодію</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Особа розкриває звіт щодо аспектів взаємодії зі стейкхолдерами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3. Наглядова рада</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Члени наглядової ради не входять до складу наглядових рад у більш ніж 3 інших юридичних особах</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Особа веде облік відвідування засідань наглядової ради та її комітетів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Статут особи та/або її внутрішні документи визначають і пояснюють обов'язок членів наглядової ради сумлінно виконувати свої функції і дотримуватися принципу лояльності стосовно особи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Наглядовій раді та її членам забезпечена можливість доступу до будь-якої інформації, яка необхідна їй для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Наглядова рада регулярно оцінює результати діяльності особи та виконавчого органу відповідно до цілей особи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Статут особи та/або її внутрішні документи визначають, що наглядова рада не має права втручатися у поточне управління особою, у тому числі у питання, які належать до сфери відповідальності виконавчого органу, крім як у випадках надзвичайних обставин, які визначені належним чином</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і навички членів наглядової ради відповідають потребам особи, її розміру та ступеню складності її діяльності</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Наглядовою радою визначені і регулярно переглядаються кваліфікаційні вимоги до кандидатів у члени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Відбір та призначення членів наглядової ради відбувається на основі професійних якостей, досягнень і відповідності кандидатів конкретним критеріям, а також з урахуванням необхідності періодичного оновлення складу</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В особі наявна формалізована процедура перевірки кандидатів у члени наглядової ради, яка зокрема включає перевірку добропорядності, наявності конфлікту інтересів, компетентності, навичок і досвіду </w:t>
            </w:r>
            <w:r w:rsidRPr="00D275D9">
              <w:rPr>
                <w:rFonts w:ascii="Times New Roman CYR" w:eastAsiaTheme="minorEastAsia" w:hAnsi="Times New Roman CYR" w:cs="Times New Roman CYR"/>
                <w:sz w:val="24"/>
                <w:szCs w:val="24"/>
              </w:rPr>
              <w:lastRenderedPageBreak/>
              <w:t>кандидата</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Процедура відбору передбачає можливість залучення зовнішніх радників та/або процес відкритого пошуку</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Наглядова рада розробляє плани наступництва для членів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Наглядовою радою затверджено політику щодо різноманіття складу наглядової ради та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Представники однієї зі статей становлять не менше 40 % від складу наглядової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Незалежні члени наглядової ради становлять не менше половини від її загального складу</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Члени наглядової ради проходять вступний тренінг після їх обрання, який серед іншого покриває:</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 обов'язки, функції і сфери відповідальності членів наглядової ради;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 незалежність, включаючи незалежність мислення;</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 порядок роботи наглядової ради;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г) питання відповідальності;</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ґ) питання стратегії особи;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 політики особи, включаючи питання етики, конфлікту інтересів та запобігання корупції;</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е) питання звітності та систем контролю, включаючи внутрішній та зовнішній аудит;</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є) роль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Наглядова рада розробляє план навчання, який визначає, з яких питань необхідно пройти додаткове навчання її членам</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Голову наглядової ради обрано серед незалежних членів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Головою Наглядової ради є представник акцiонера</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Голові наглядової ради забезпечено можливість для комунікації з акціонерами, у тому числі мажоритарними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Функції голови наглядової ради визначаються у внутрішніх </w:t>
            </w:r>
            <w:r w:rsidRPr="00D275D9">
              <w:rPr>
                <w:rFonts w:ascii="Times New Roman CYR" w:eastAsiaTheme="minorEastAsia" w:hAnsi="Times New Roman CYR" w:cs="Times New Roman CYR"/>
                <w:sz w:val="24"/>
                <w:szCs w:val="24"/>
              </w:rPr>
              <w:lastRenderedPageBreak/>
              <w:t>документах особи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Створена посада та призначено корпоративного секретаря</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1) комітети наглядової ради</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Наглядовою радою створено комітети та затверджені внутрішні документи, які регулюють їх діяльність</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 складi Наглядової ради комiтети не створювались</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Комітет з питань аудиту складається з незалежних членів наглядової ради, які мають знання у сфері фінансів, галузевий досвід та досвід з питань бухгалтерського обліку, аудиту, контролю та управлінням ризиками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Члени комітету з питань аудиту не входять до складу інших комітетів наглядової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Комітет з призначень складається з незалежних членів наглядової ради, які мають знання в галузі управління людськими ресурсами і навичками пошуку професіоналів до складу наглядової ради і виконавчого органу</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Комітет з питань винагороди складається з незалежних членів наглядової ради, які мають знання щодо практик визначення винагороди та заохочення до ефективного виконання обов'язків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Більшість комітету з питань ризиків становлять незалежні члени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4. Виконавчий орган</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Виконавчий орган розробляє стратегію особи, яка затверджується рішенням Наглядової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Наглядова рада визначає ключові показники ефективності Виконавчому органу для відстеження прогресу у досягненні цілей особи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Виконавчий орган регулярно звітує Наглядовій раді про прогрес у впровадженні стратегії особи </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Виконавчий орган інформує голову Наглядової ради про будь-які значні події, які сталися в період між </w:t>
            </w:r>
            <w:r w:rsidRPr="00D275D9">
              <w:rPr>
                <w:rFonts w:ascii="Times New Roman CYR" w:eastAsiaTheme="minorEastAsia" w:hAnsi="Times New Roman CYR" w:cs="Times New Roman CYR"/>
                <w:sz w:val="24"/>
                <w:szCs w:val="24"/>
              </w:rPr>
              <w:lastRenderedPageBreak/>
              <w:t>засіданнями Наглядової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lastRenderedPageBreak/>
              <w:t>6. Винагорода</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Винагорода членів ради і виконавчого органу визначена на підставі та відповідає ринковим показникам у галузі для такого виду особи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винагороди для виконавчого органу пов'язаний з результатами діяльності особи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Винагорода членів ради (невиконавчих директорів) є фіксованою та не залежить від досягнення особою фінансових показників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7. Розкриття інформації і прозорість</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 особі затверджена та оприлюднена політика щодо розкриття інформації, яка визначає інформацію, що її повинна розкривати особа</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Рада (невиконавчі директори ради директорів) здійснює нагляд за виконавчим органом (виконавчими директорами ради директорів) у підготовці фінансових звітів і забезпечуєскладання фінансових звітів особи відповідно до чинного законодавства та міжнародних стандартів фінансової звітності</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Адреса вебсайту особи містить окремий розділ, присвячений виключно питанням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так</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10000" w:type="dxa"/>
            <w:gridSpan w:val="3"/>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b/>
                <w:bCs/>
                <w:sz w:val="24"/>
                <w:szCs w:val="24"/>
              </w:rPr>
            </w:pPr>
            <w:r w:rsidRPr="00D275D9">
              <w:rPr>
                <w:rFonts w:ascii="Times New Roman CYR" w:eastAsiaTheme="minorEastAsia" w:hAnsi="Times New Roman CYR" w:cs="Times New Roman CYR"/>
                <w:b/>
                <w:bCs/>
                <w:sz w:val="24"/>
                <w:szCs w:val="24"/>
              </w:rPr>
              <w:t>9. Оцінка корпоративного управління</w:t>
            </w: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 особі формалізована процедура щорічної самооцінки членів ради</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За результатами щорічної самооцінки членів ради розробляється план дій для підвищення ефективності роботи членів ради та практик корпоративного управління</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4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Кожні три роки проводиться комплексна оцінка системи корпоративного управління із залученням незалежного зовнішнього експерта</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c>
          <w:tcPr>
            <w:tcW w:w="4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30.04.2024</w:t>
            </w: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очне голосування</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ab/>
              <w:t>електронне голосування</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X</w:t>
            </w:r>
            <w:r w:rsidRPr="00D275D9">
              <w:rPr>
                <w:rFonts w:ascii="Times New Roman CYR" w:eastAsiaTheme="minorEastAsia" w:hAnsi="Times New Roman CYR" w:cs="Times New Roman CYR"/>
                <w:sz w:val="24"/>
                <w:szCs w:val="24"/>
              </w:rPr>
              <w:tab/>
              <w:t>опитування (дистанційно)</w:t>
            </w: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Наглядова рада</w:t>
            </w:r>
          </w:p>
        </w:tc>
      </w:tr>
      <w:tr w:rsidR="00D275D9" w:rsidRPr="00D275D9">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b/>
                <w:bCs/>
                <w:sz w:val="24"/>
                <w:szCs w:val="24"/>
              </w:rPr>
              <w:t>Питання порядку денного та прийняті рішення:</w:t>
            </w:r>
          </w:p>
        </w:tc>
      </w:tr>
      <w:tr w:rsidR="00D275D9" w:rsidRPr="00D275D9">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1: Про розгляд звiту Наглядової ради Товариства за 2023 рiк та прийняття рiшення за результатами розгляду такого звiту.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Затвердити звiт Наглядової ради Товариства за 2023 рiк, що додається.</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2: Про розгляд звiту виконавчого органу Товариства - Генерального директора за 2023 рiк та прийняття рiшення за результатами його розгляду.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Затвердити звiт виконавчого органу про фiнансово-господарську дiяльнiсть Товариства за 2023 рiк, що додається.</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3: Про розгляд висновкiв аудиторського звiту суб'єкта аудиторської дiяльностi та затвердження заходiв за результатами розгляду такого звiту.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Затвердити звiт суб'єкта аудиторської дiяльностi ТОВАРИСТВА З ОБМЕЖЕНОЮ ВIДПОВIДАЛЬНIСТЮ АУДИТОРСЬКА ФIРМА "АУДИТ- IНВЕСТ", складений за результатом проведеної перевiрки фiнансової звiтностi Товариства за 2023 рiк.</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4: Про затвердження результатiв фiнансово-господарської дiяльностi Товариства за 2023 рiк та розподiл прибутку.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Затвердити результати фiнансово-господарської дiяльностi ПрАТ "ЄВРОКАР" за 2023 рiк. Чистий прибуток ПрАТ "ЄВРОКАР" за результатами дiяльностi у 2023 роцi у розмiрi 37 253 тис. грн. спрямувати на поповнення обiгових коштiв, тобто залишити у розпорядженнi Товариства, дивiденди не нараховувати i не сплачувати.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5: Визначення основних напрямкiв дiяльностi i планiв Товариства на поточний рiк.</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Затвердити запропонованi Генеральним директором Товариства основнi напрямки дiяльностi i плани Товариства на поточний 2024 рiк.</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6: Про внесення змiн до Статуту Приватного акцiонерного товариства "ЄВРОКАР".</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Рiшення не прийнято.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7: Про внесення змiн до Положення про Наглядову раду Приватного акцiонерного товариства "ЄВРОКАР".</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Пiдрахунок голосiв з даного питання порядку денного не здiйснювався у зв'язку з встановленням рiшенням Наглядової ради (протокол №02 вiд 25.03.2024 р., протокол №05 вiд 12.04.2024 р.) взаємозв'язку мiж питаннями 6-7 порядку денного Загальних зборiв та неприйняттям Загальними зборами рiшення з питання 6 порядку денного "Про внесення змiн до Статуту Приватного акцiонерного товариства "ЄВРОКАР", що обумовило неможливiсть пiдрахунку голосiв з даного питання порядку денного.</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8: Прийняття рiшення про припинення повноважень членiв Наглядової ради Товариства.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 xml:space="preserve">Припинити повноваження членiв Наглядової ради ПрАТ "Єврокар" у складi: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Вiнфрiда Фаланда (Winfried Vahland);</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Панова Володимира Олексiйовича;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Чернобая Дмитра Михайловича;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Боярина Петра Iллiча;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Боярина Вiктора Олеговича.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9: Обрання членiв Наглядової ради Товариства.</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Обрати Наглядову раду ПрАТ "Єврокар" строком на 3 (три) роки у наступному складi:</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Вiнфрiд Фаланд (Winfried Vahland);</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Панов Володимир Олексiйович;</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Чернобай Дмитро Михайлович;</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Боярин Петро Iллiч;</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Боярин Вiктор Олегович.</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10: Затвердження умов цивiльно-правових договорiв, трудових договорiв (контрактiв), що укладаються з членами наглядової ради, встановлення розмiру їх винагороди, обрання особи, уповноваженої на пiдписання договорiв (контрактiв) з членами наглядової ради.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1. Затвердити умови цивiльно-правових договорiв, трудових договорiв (контрактiв), що укладатимуться з членами Наглядової ради ПрАТ "ЄВРОКАР", в т.ч. щодо розмiру винагороди, що додаються.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 Уповноважити Генерального директора ПрАТ "ЄВРОКАР" пiдписати цивiльно-правовi договори, трудовi договори (контракти), що укладатимуться з членами Наглядової ради ПрАТ "ЄВРОКАР".</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11: Про попереднє надання згоди на вчинення Товариством значних правочинiв.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Попередньо надати згоду на вчинення значних правочинiв, якi можуть вчинятися Товариством протягом не бiльш як одного року: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правочини щодо внесення змiн та/або доповнень до наступних Договорiв, укладених ПрАТ "Єврокар":</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Договiр позики №2-ФК вiд 03.02.2012 р., укладений ПрАТ "Єврокар" з ТОВ "Стамiна Капiтал" з усiма подальшими змiнами i доповненнями;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Договiр позики №11258542000 вiд 27.11.2007 р., укладений ПрАТ "Єврокар" з Atollendo Consulting Limited з усiма подальшими змiнами i доповненнями;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Договiр позики №38-СВ вiд 28.10.2009 р., укладений ПрАТ "Єврокар" з Atollendo Consulting Limited з усiма подальшими змiнами i доповненнями;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а також до вже укладених договорiв застави, договорiв iпотеки та договорiв поруки.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Гранична сукупна вартiсть вище зазначених попередньо схвалених правочинiв не повинна перевищувати 150 (сто п'ятдесят) мiльйонiв Євро за офiцiйним курсом Нацiонального банку України на день вчинення таких правочинiв; при цьому повноваження на укладення (пiдписання) зазначених договорiв та змiн i доповнень, надати Генеральному директору Товариства на визначених ним на власний розсуд умовах особисто, або через уповноваженого представника Товариства - Крисiна Олександра Валентиновича без будь-яких обмежень в межах граничної сукупної вартостi попередньо схвалених значних правочинiв, визначеної даним пунктом, зокрема, але не виключно щодо лiмiту (-iв), суми, виду кредитування, строку (термiну) кредитування, графiкiв зменшення лiмiтiв, цiльового використання (мети) кредитування, розмiрiв процентних ставок, комiсiй, штрафiв, будь-яких без виключення iнших </w:t>
            </w:r>
            <w:r w:rsidRPr="00D275D9">
              <w:rPr>
                <w:rFonts w:ascii="Times New Roman CYR" w:eastAsiaTheme="minorEastAsia" w:hAnsi="Times New Roman CYR" w:cs="Times New Roman CYR"/>
                <w:sz w:val="24"/>
                <w:szCs w:val="24"/>
              </w:rPr>
              <w:lastRenderedPageBreak/>
              <w:t>платежiв, обсягу вiдповiдальностi та зобов'язань Товариства, предмета (-iв) забезпечення, контрагентiв - Поручителiв (Позичальникiв), тощо.</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 Новi кредитнi договори, договори позики, договори застави, договори iпотеки, договори поруки, а також змiни i доповнення до них, на загальну суму, що не перевищуватиме еквiвалент 200 (двiстi) мiльйонiв Євро за офiцiйним курсом Нацiонального банку України на день вчинення таких правочинiв; при цьому повноваження на укладення (пiдписання) зазначених договорiв та змiн i доповнень надати Генеральному директору Товариства на визначених ним на власний розсуд умовах особисто, або через уповноваженого представника Товариства - Крисiна Олександра Валентиновича без будь-яких обмежень в межах загальної суми, визначеної даним пунктом, зокрема, але не виключно щодо лiмiту (-iв), суми, виду кредитування, строку (термiну) кредитування, графiкiв зменшення лiмiтiв, цiльового використання (мети) кредитування, розмiрiв процентних ставок, комiсiй, штрафiв, будь-яких без виключення iнших платежiв, обсягу вiдповiдальностi та зобов'язань Товариства, предмета (-iв) забезпечення, контрагентiв - Поручителiв (Позичальникiв), тощо.</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Питання 12: Про уповноваження осiб на пiдписання протоколу загальних зборiв акцiонерiв.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Прийняте рiшення: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Уповноважити Головуючого та Секретаря рiчних Загальних зборiв акцiонерiв ПрАТ "ЄВРОКАР" на пiдписання вiд iменi акцiонерiв протоколу загальних зборiв акцiонерiв.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b/>
                <w:bCs/>
                <w:sz w:val="24"/>
                <w:szCs w:val="24"/>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https://www.skoda-auto.ua/company/general-meeting-30-04-24</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4. Рада</w:t>
      </w: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Персональний склад ради та її комітетів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150"/>
        <w:gridCol w:w="1150"/>
        <w:gridCol w:w="1150"/>
        <w:gridCol w:w="1150"/>
        <w:gridCol w:w="1150"/>
        <w:gridCol w:w="1250"/>
      </w:tblGrid>
      <w:tr w:rsidR="00D275D9" w:rsidRPr="00D275D9">
        <w:tblPrEx>
          <w:tblCellMar>
            <w:top w:w="0" w:type="dxa"/>
            <w:bottom w:w="0" w:type="dxa"/>
          </w:tblCellMar>
        </w:tblPrEx>
        <w:trPr>
          <w:trHeight w:val="200"/>
        </w:trPr>
        <w:tc>
          <w:tcPr>
            <w:tcW w:w="3000" w:type="dxa"/>
            <w:vMerge w:val="restart"/>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Ім'я члена ради, строк повноважень у звітному періоді</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1150" w:type="dxa"/>
            <w:vMerge w:val="restart"/>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Голова/ заступник голови ради</w:t>
            </w:r>
          </w:p>
        </w:tc>
        <w:tc>
          <w:tcPr>
            <w:tcW w:w="3550" w:type="dxa"/>
            <w:gridSpan w:val="3"/>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ab/>
              <w:t>Голова / член комітету ради</w:t>
            </w:r>
          </w:p>
        </w:tc>
      </w:tr>
      <w:tr w:rsidR="00D275D9" w:rsidRPr="00D275D9">
        <w:tblPrEx>
          <w:tblCellMar>
            <w:top w:w="0" w:type="dxa"/>
            <w:bottom w:w="0" w:type="dxa"/>
          </w:tblCellMar>
        </w:tblPrEx>
        <w:trPr>
          <w:trHeight w:val="200"/>
        </w:trPr>
        <w:tc>
          <w:tcPr>
            <w:tcW w:w="3000" w:type="dxa"/>
            <w:vMerge/>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vMerge/>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Назва комітету - 1</w:t>
            </w:r>
          </w:p>
        </w:tc>
        <w:tc>
          <w:tcPr>
            <w:tcW w:w="11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Назва комітету - 2</w:t>
            </w:r>
          </w:p>
        </w:tc>
        <w:tc>
          <w:tcPr>
            <w:tcW w:w="12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Назва комітету - 3</w:t>
            </w: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 Вiндфрiд Фаланд, 01.01.2024-31.12.2024</w:t>
            </w: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X</w:t>
            </w: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Панов Володимир Олексiйович, 01.01.2024-31.12.2024</w:t>
            </w: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Y</w:t>
            </w: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Боярин Петро Iллiч, 01.01.2024-31.12.2024</w:t>
            </w: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Чернобай Дмитро Михайлович, 01.01.2024-31.12.2024</w:t>
            </w: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Боярин Вiктор Олегович, 01.01.2024-31.12.2024</w:t>
            </w: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1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25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ради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8000"/>
      </w:tblGrid>
      <w:tr w:rsidR="00D275D9" w:rsidRPr="00D275D9">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15</w:t>
            </w:r>
          </w:p>
        </w:tc>
      </w:tr>
      <w:tr w:rsidR="00D275D9" w:rsidRPr="00D275D9">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15</w:t>
            </w:r>
          </w:p>
        </w:tc>
      </w:tr>
      <w:tr w:rsidR="00D275D9" w:rsidRPr="00D275D9">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w:t>
            </w:r>
          </w:p>
        </w:tc>
      </w:tr>
      <w:tr w:rsidR="00D275D9" w:rsidRPr="00D275D9">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Опис ключових рішень ради:</w:t>
            </w:r>
          </w:p>
        </w:tc>
        <w:tc>
          <w:tcPr>
            <w:tcW w:w="8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Вирiшення питань органiзацiї проведення загальних зборiв акцiонерiв, затвердження рiчного звiту (рiчної iнформацiї емiтента цiнних паперi), забезпечення порукою виконання зобов'язань, придбання об'єктiв нерухомого майна, про безоплатну передачу товарно-матерiальних цiнностей, обрання голови, заступника голови та секретаря наглядової ради, придбання транспортних засобiв, надання благодiйної допомоги, обрання Генерального директора,  участь в аукцiонi з продажу майна</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оцiнка складу, структури та дiяльностi ради як колегiального органу (колективної придатностi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 iнформацiя вiдсутня;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оцiнка компетентностi та ефективностi кожного члена ради, включаючи iнформацiю про його дiяльнiсть як посадової особи iнших юридичних осiб або iншу дiяльнiсть - оплачувану i безоплатну</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 iнформацiя вiдсутня;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оцiнка незалежностi кожного з незалежних членiв ради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 iнформацiя вiдсутня;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оцiнка компетентностi та ефективностi кожного з комiтетiв ради, їхнi функцiональнi повноваження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комiтети у складi Наглядової ради не створювались;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оцiнка виконання радою поставлених цiлей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 iнформацiя вiдсутня;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про внутрiшню структуру ради, процедури, що застосовуються при прийняттi нею рiшень, включаючи зазначення того, яким чином дiяльнiсть ради зумовила змiни у фiнансово-господарськiй дiяльностi особи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вiдсутня.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не складала звiт про свою дiяльнiсть згiдно з вимогами ч.2 ст.70 Закону України "Про акцiонернi товариства".</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Ім'я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Боярин Олег Петрович, 01.01.2024-31.12.2024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Опис ключових рішень керівника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Протягом звiтного перiоду ключовi рiшення керiвника стосувались питань здiйснення поточної господарської дiяльностi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Ім'я заступника(ів) керівника, термін повноважень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Iванчук Григорiй Володимирович, 01.01.2024-31.12.2024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Сфера відповідальності заступника керівника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Заступники керiвника:</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Макарова Людмила Ярославна, 01.01.2024-31.12.2024, РНОКПП 1980404247; </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Кiзченко Олександр Анатолiйович, 01.02.2024-31.12.2024, РНОКПП 2753810977, УНЗР 19750525-00952; </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Маменко Олександр Вiкторович, 14.02.2024-31.12.2024, РНОКПП 2723913195, УНЗР 19740730-03259; </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Цифра Василь Iванович, 01.01.2024-31.12.2024, РНОКПП 2555002452; </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 xml:space="preserve">Пiчкар Руслан Васильович , 01.01.2024-31.12.2024, РНОКПП 2847308778, УНЗР 19771215-02595; </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Кравець Дмитро Миколайович, 07.05.2024-31.12.2024, РНОКПП 3171407617, УНЗР 19861030-04235.</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Сфера вiдповiдальностi заступникiв керiвника:</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Iванчук Григорiй Володимирович - питання поточної дiяльностi Товариства;</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Макарова Людмила Ярославна - заступник генерального директора з питань бухгалтерського облiку та оподаткування адмiнiстрацiї;</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Кiзченко Олександр Анатолiйович - заступник генерального директора з виробництва;</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Маменко Олександр Вiкторович - заступник генерального директора з цифрових технологiй адмiнiстрацiї;</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Цифра Василь Iванович - заступник генерального директора з питань енергетики адмiнiстрацiї;</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Пiчкар Руслан Васильович - заступник генерального директора з управлiння якiстю адмiнiстрацiї;</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Кравець Дмитро Миколайович - заступник генерального директора з впровадження та пiдтримки ERP-систем адмiнiстрацiї.</w:t>
            </w:r>
          </w:p>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Кiзченко Олександр Анатолiйович, Заступник генерального директора з виробництва, 19.02.2024 - 22.02. 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Система внутрішнього контролю передбачає модель трьох ліній захисту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Опис функцій підрозділів першої лінії захисту та перелік ключових підрозділів</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Опис функцiй пiдроздiлiв першої лiнiї захисту та перелiк ключових пiдроздiлiв вiдсутнiй, так як їх впровадження для Товариства не є обов'язковим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Перелік підрозділів та опис функцій підрозділів другої лінії захисту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Опис функцiй пiдроздiлiв другої лiнiї захисту та перелiк ключових пiдроздiлiв вiдсутнiй, так як їх впровадження для Товариства не є обов'язковим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Перелік підрозділів та опис функцій підрозділів третьої лінії захисту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Опис функцiй пiдроздiлiв третьої лiнiї захисту та перелiк ключових пiдроздiлiв вiдсутнiй, так як їх впровадження для Товариства не є обов'язковим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Наявність затвердженого документу (документів), </w:t>
            </w:r>
            <w:r w:rsidRPr="00D275D9">
              <w:rPr>
                <w:rFonts w:ascii="Times New Roman CYR" w:eastAsiaTheme="minorEastAsia" w:hAnsi="Times New Roman CYR" w:cs="Times New Roman CYR"/>
                <w:sz w:val="24"/>
                <w:szCs w:val="24"/>
              </w:rPr>
              <w:lastRenderedPageBreak/>
              <w:t>який(які) визначає(ють) політику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ні</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 Товариства вiдсутнi основнi внутрiшнi документи щодо системи внутрiшнього контролю, так як їх впровадження не є обов'язковим для Товариства</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та номер рішення про затвердження звіту щодо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Основні положення звіту системи внутрішнього контролю (у тому числі комплаєнс-ризиків)</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Звiт системи внутрiшнього контролю (у тому числi комплаєнс-ризикiв) вiдсутнiй, так як не є обов'язковим для Товариства, тому не готується</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Наявність затвердженої декларації схильності до ризиків</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ні</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Опис основних положень декларації схильності до ризиків</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У Товарситва вiдсутня затверджена декларацiя схильностi до ризикiв, так як її впровадження не є обов'язковим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Назва органу, який прийняв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Рiшення про затвердження декларацiї схильностi до ризикiв не приймалося</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та номер рішення про затвердження декларації схильності до ризиків</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 </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8. Інформація щодо осіб, які прямо або опосередковано є власниками значного пакета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1750"/>
        <w:gridCol w:w="1750"/>
        <w:gridCol w:w="1750"/>
        <w:gridCol w:w="1750"/>
      </w:tblGrid>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Ім'я або повне найменування акціонера</w:t>
            </w: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РНОКПП</w:t>
            </w: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УНЗР</w:t>
            </w: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Розмір значного пакета акцій</w:t>
            </w:r>
          </w:p>
        </w:tc>
        <w:tc>
          <w:tcPr>
            <w:tcW w:w="17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Розмір пакета акцій, що знаходиться в прямому та (опосередкованому) володінні</w:t>
            </w: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ТОВАРИСТВО З ОБМЕЖЕНОЮ ВIДПВIДАЛЬНIСТЮ "ПРОСТIР КАПIТАЛ" (32978493)</w:t>
            </w: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20</w:t>
            </w:r>
          </w:p>
        </w:tc>
        <w:tc>
          <w:tcPr>
            <w:tcW w:w="17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20</w:t>
            </w: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ТОВАРИСТВО З ОБМЕЖЕНОЮ ВIДПОВIДАЛЬНIСТЮ </w:t>
            </w:r>
            <w:r w:rsidRPr="00D275D9">
              <w:rPr>
                <w:rFonts w:ascii="Times New Roman CYR" w:eastAsiaTheme="minorEastAsia" w:hAnsi="Times New Roman CYR" w:cs="Times New Roman CYR"/>
              </w:rPr>
              <w:lastRenderedPageBreak/>
              <w:t>"АТОЛЛ ХОЛДIНГ" (31237888)</w:t>
            </w: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68,841184</w:t>
            </w:r>
          </w:p>
        </w:tc>
        <w:tc>
          <w:tcPr>
            <w:tcW w:w="17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68,841184</w:t>
            </w:r>
          </w:p>
        </w:tc>
      </w:tr>
      <w:tr w:rsidR="00D275D9" w:rsidRPr="00D275D9">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lastRenderedPageBreak/>
              <w:t>Акцiонерне товариство "IБЕРIЯ МОТОР КОМПАНI"  (0000142828)</w:t>
            </w: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c>
          <w:tcPr>
            <w:tcW w:w="17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w:t>
            </w:r>
          </w:p>
        </w:tc>
        <w:tc>
          <w:tcPr>
            <w:tcW w:w="175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10</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11. Інформація про винагороду членів виконавчого органу та/або ради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Виконавчий орган</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Боярин Олег Петрович</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Посада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Генеральний директор</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01.10.2024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1258589,78</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в безготiвковому порядку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1258589,78</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Вiдсутнi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Згiдно iз законодавством. 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URL-адреса вебсайту особи, за якою розміщено звіт про </w:t>
            </w:r>
            <w:r w:rsidRPr="00D275D9">
              <w:rPr>
                <w:rFonts w:ascii="Times New Roman CYR" w:eastAsiaTheme="minorEastAsia" w:hAnsi="Times New Roman CYR" w:cs="Times New Roman CYR"/>
                <w:sz w:val="24"/>
                <w:szCs w:val="24"/>
              </w:rPr>
              <w:lastRenderedPageBreak/>
              <w:t>винагороду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Звiт про винагороду генеральному директору не складався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4,9</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Рада</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Вiндфрiд Фаланд</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Посада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Голова наглядової ради</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07.05.2024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Виплатили: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Вiдсутнi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Винагороду не отримує. 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Звiт про винагороду членам Наглядової ради не складався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0</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Рада</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Панов Володимир Олексiйович</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Посада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Заступник Голови наглядової ради</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07.05.2024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691142,03</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в безготiвковому порядку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691142,03</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Вiдсутнi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Звiт про винагороду членам Наглядової ради не складався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2,7</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Рада</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Боярин Петро Iллiч</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Посада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Член наглядової ради</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Дата вступу на посаду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07.05.2024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95031,9</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в безготiвковому порядку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95031,9</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Вiдсутнi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Звiт про винагороду членам Наглядової ради не складався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0,37</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Рада</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Боярин Вiктор Олегович</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Посада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Член наглядової ради</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07.05.2024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Розмір винагороди у національній або іноземній валюті, яку виплатили (мають виплатити) у звітному періоді </w:t>
            </w:r>
            <w:r w:rsidRPr="00D275D9">
              <w:rPr>
                <w:rFonts w:ascii="Times New Roman CYR" w:eastAsiaTheme="minorEastAsia" w:hAnsi="Times New Roman CYR" w:cs="Times New Roman CYR"/>
                <w:sz w:val="24"/>
                <w:szCs w:val="24"/>
              </w:rPr>
              <w:lastRenderedPageBreak/>
              <w:t>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Виплатили: 110843,38</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в безготiвковому порядку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110843,38</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Мають виплатити: 0</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Прийнято рішення про виплату: 0</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Вiдсутнi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Звiт про винагороду членам Наглядової ради не складався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0,43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500"/>
        <w:gridCol w:w="6500"/>
      </w:tblGrid>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Орган управління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Рада</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Ім'я члена виконавчого органу/ради особи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Чернобай Дмитро Михайлович</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РНОКПП</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УНЗР</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rPr>
            </w:pPr>
            <w:r w:rsidRPr="00D275D9">
              <w:rPr>
                <w:rFonts w:ascii="Times New Roman CYR" w:eastAsiaTheme="minorEastAsia" w:hAnsi="Times New Roman CYR" w:cs="Times New Roman CYR"/>
              </w:rPr>
              <w:t>Посада</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both"/>
              <w:rPr>
                <w:rFonts w:ascii="Times New Roman CYR" w:eastAsiaTheme="minorEastAsia" w:hAnsi="Times New Roman CYR" w:cs="Times New Roman CYR"/>
              </w:rPr>
            </w:pPr>
            <w:r w:rsidRPr="00D275D9">
              <w:rPr>
                <w:rFonts w:ascii="Times New Roman CYR" w:eastAsiaTheme="minorEastAsia" w:hAnsi="Times New Roman CYR" w:cs="Times New Roman CYR"/>
              </w:rPr>
              <w:t>Член наглядової ради</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Дата вступу на посаду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07.05.2024</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288618,48</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Мають виплатити: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Прийнято рішення про виплату: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Форми виплати винагороди, яку виплатили та/або мають </w:t>
            </w:r>
            <w:r w:rsidRPr="00D275D9">
              <w:rPr>
                <w:rFonts w:ascii="Times New Roman CYR" w:eastAsiaTheme="minorEastAsia" w:hAnsi="Times New Roman CYR" w:cs="Times New Roman CYR"/>
                <w:sz w:val="24"/>
                <w:szCs w:val="24"/>
              </w:rPr>
              <w:lastRenderedPageBreak/>
              <w:t>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Виплатили: в безготiвковому порядку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Мають виплатити: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 xml:space="preserve">Прийнято рішення про виплату: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Виплатили: 288618,48</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Мають виплатити: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Прийнято рішення про виплату: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Виплатили: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Мають виплатити: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Прийнято рішення про виплату: </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Критерії оцінки ефективності, за якими нараховували змінну частину винагороди</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Вiдсутнi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Інформація про винагороду або ж компенсації, які мають бути виплачені у разі звільнення</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Будь-якi винагороди або компенсацiї, якi мають бути виплаченi посадовим особам емiтента у разi їх звiльнення статутом та внутрiшнiми положеннями не передбаченi</w:t>
            </w:r>
          </w:p>
        </w:tc>
      </w:tr>
      <w:tr w:rsidR="00D275D9" w:rsidRPr="00D275D9">
        <w:tblPrEx>
          <w:tblCellMar>
            <w:top w:w="0" w:type="dxa"/>
            <w:bottom w:w="0" w:type="dxa"/>
          </w:tblCellMar>
        </w:tblPrEx>
        <w:trPr>
          <w:trHeight w:val="200"/>
        </w:trPr>
        <w:tc>
          <w:tcPr>
            <w:tcW w:w="35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URL-адреса вебсайту особи, за якою розміщено звіт про винагороду</w:t>
            </w:r>
          </w:p>
        </w:tc>
        <w:tc>
          <w:tcPr>
            <w:tcW w:w="6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Звiт про винагороду членам Наглядової ради не складався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1,13</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Частина 14. Інформація від суб'єкта аудиторської діяльності з урахуванням вимог, передбачених пунктом 45 Положення</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Наведена нижче iнформацiя представлена на виконання вимог ст.127 Закону України "Про ринки капiталу та органiзованi товарнi ринки" №3480-IV вiд 23.02.2006 р. (iз змiнами та доповненнями) (далi - Закон №3480-IV) стосовно висловлення думки щодо iнформацiї, зазначеної у пунктах 5-9 частини 3 ст.127 та перевiрки iнформацiї, зазначеної у пунктах 1-4 частини 3 ст. 127 Закону №3480-IV вiдносно Звiту про корпоративне управлiння Компанiї, який буде включено до Рiчної iнформацiї про емiтента цiнних паперiв за 2024 рiк.</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пiдставi роботи, проведеної нами пiд час аудиту, ми прийшли до висновку, що iнформацiя, а саме: опис основних характеристик систем внутрiшнього контролю i управлiння ризиками Компанiї; перелiк осiб, якi прямо або опосередковано є власниками значного пакета акцiй Компанiї; iнформацiя про будь-якi обмеження прав участi та голосування акцiонерiв (учасникiв) на загальних зборах емiтента; порядок призначення та звiльнення посадових осiб Компанiї; повноваження посадових осiб Компанiї, розкрита у Звiтi про корпоративне управлiння Компанiї станом на 31.12.2024 року, як вимагається пп.5-9 частини 3 ст.127 Закону №3480-IV.</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Крiм того, ми перевiрили iнформацiю включену до Звiту про корпоративне управлiння, розкриття якої вимагається пп.1-4 частини 3 ст.127 Закону №3480-IV, а саме:</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посилання на власний кодекс корпоративного управляння, яким керується Компанiя, об'єднання юридичних осiб або iнший кодекс корпоративного управлiння, який Компанiя добровiльно вирiшила застосовувати з розкриттям вiдповiдної iнформацiї про практику корпоративного управлiння, </w:t>
      </w:r>
      <w:r>
        <w:rPr>
          <w:rFonts w:ascii="Times New Roman CYR" w:hAnsi="Times New Roman CYR" w:cs="Times New Roman CYR"/>
          <w:sz w:val="24"/>
          <w:szCs w:val="24"/>
        </w:rPr>
        <w:lastRenderedPageBreak/>
        <w:t>застосовувану понад визначенi законодавством вимоги;</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пояснення емiтента щодо причин вiдхилення та частини кодексу корпоративного управлiння, вiд яких вiдхиляється емiтент;</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iнформацiя про проведенi загальнi збори акцiонерiв (учасникiв) та загальний опис прийнятих на зборах рiшень;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про персональний склад Наглядової ради та колегiального виконавчого органу Компанiї, їхнiх комiтетiв (за наявностi), iнформацiю про проведенi засiдання та загальний опис прийнятих на них рiшень.</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яка мiститься в Звiтi про корпоративне управлiння за 2024 рiк розкрита вiдповiдно до вимог пунктiв 1-4 частини 3 ст.127 Закону №3480-IV та узгоджується з окремою фiнансовою звiтнiстю.</w:t>
      </w:r>
    </w:p>
    <w:p w:rsidR="00D275D9" w:rsidRDefault="00D275D9">
      <w:pPr>
        <w:widowControl w:val="0"/>
        <w:autoSpaceDE w:val="0"/>
        <w:autoSpaceDN w:val="0"/>
        <w:adjustRightInd w:val="0"/>
        <w:spacing w:after="0" w:line="240" w:lineRule="auto"/>
        <w:jc w:val="both"/>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2) звіт про сталий розвиток</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
        <w:gridCol w:w="4700"/>
        <w:gridCol w:w="5000"/>
      </w:tblGrid>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w:t>
            </w: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Оцінка діяльності щодо захисту довкілля та соціальної відповідальності за звітний період:</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З метою досягнення встановлених цiлей емiтентом у 2024 роцi проведена робота щодо отримання/дотримання: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дозволу на спецiальне водокористування №17/ЗК/49д-24 вiд 23.02.2024</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 декларацiї про вiдходи та дотримання вимог щодо поводження з вiдходами (результат - декларацiя про вiдходи). </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     Емiтентом проводиться постiйний монiторинг, а саме за: - рацiональним використанням водних ресурсiв та систематичного облiку водокористування; - забезпеченням умов обмеженої господарської дiяльностi в прибережнiй захиснiй смузi в мiсцi водовiдведення; - дотриманням зон санiтарної охорони джерел водопостачання - забезпеченням контролю за якiстю i кiлькiстю скинутих у воднi об'єкти зворотнiх вод i забруднюючих речовин та за якiстю води у водних об'єктiв у контрольних створах; - здiйсненням за дотриманням затверджених нормативiв гранично допустимих викидiв забруднюючих речовин. - мiсцями тимчасового зберiгання та облiк вiдходiв для подальшої передачi для утилiзацiї.</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w:t>
            </w: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Перелік ризиків щодо захисту довкілля та соціальної відповідальності, які мають вплив на особу:</w:t>
            </w:r>
          </w:p>
        </w:tc>
        <w:tc>
          <w:tcPr>
            <w:tcW w:w="5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Впроваджуючи iнновацiйнi технологiї в бiзнес-процеси Товариство пiдтримує "зеленi" стандарти i вносить свiй внесок у збереження навколишнього середовища. Товариство щодня докладає зусиль для збереження навколишнього середовища, а саме економно витрачає енергоресурси, економить папiр, завдяки впровадженню електронного документообiгу, сортує смiття та бере участь в рiзних екологiчних iнiцiативах. У 2024 роцi Товариством ощадливо використовувалася електроенергiя, вода, газ.</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2) В Товариствi дiє Колективний договiр, укладений мiж роботодавцем та трудовим колективом (далi - Колективний договiр), який регулює трудовi, соцiально-економiчнi вiдносини, питання посилення соцiального захисту працiвникiв, покращення iснуючих умов роботи та встановлює взаємнi </w:t>
            </w:r>
            <w:r w:rsidRPr="00D275D9">
              <w:rPr>
                <w:rFonts w:ascii="Times New Roman CYR" w:eastAsiaTheme="minorEastAsia" w:hAnsi="Times New Roman CYR" w:cs="Times New Roman CYR"/>
                <w:sz w:val="24"/>
                <w:szCs w:val="24"/>
              </w:rPr>
              <w:lastRenderedPageBreak/>
              <w:t>зобов'язання сторiн для реалiзацiї на його основi професiйних, трудових i соцiально-економiчних прав та iнтересiв працiвникiв, а також   питання оплати працi працiвникiв.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Товариство пропонує працiвникам в межах фiнансових можливостей:</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конкурентоспроможну заробiтну плату; систему премiювання за результатами роботи.</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Система винагороди персоналу пов'язана зi стратегiєю Товариства i спрямована на забезпечення конкурентоспроможностi заробiтної плати, утримання i розвиток кадрiв, пiдтримку кар'єрного та професiйного зростання працiвникiв.</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Товариство  проводить регулярний монiторинг ринку працi, включаючи спецiальнi огляди кадрового ринку окремих висококвалiфiкованих професiй, прагне забезпечити конкурентоспроможнiсть усiх елементiв системи винагороди. Перегляд заробiтних плат проводиться в межах фiнансових можливостей вiдповiдно до динамiки ринку працi та Колективного договору.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Товариство  надає всiм кандидатам рiвнi можливостi для працевлаштування, незалежно вiд вiку, статi чи будь яких iнших ознак, в т.ч. сприяє особам з iнвалiднiстю адаптуватися, навчатися, робити кар'єру та бути повноцiнними членами колективу.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Охорона працi та безпека в Товариствi спрямованi на збереження життя, здоров'я та працездатностi осiб пiд час їхньої трудової дiяльностi.</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Пiд час укладання трудових договорiв працiвники iнформуються пiд розписку про умови працi та про наявнiсть на їх робочому мiсцi небезпечних i шкiдливих виробничих факторiв. Пiд час прийняття на роботу i в процесi роботи працiвники проходять на пiдприємствi за рахунок роботодавця iнструктажi, навчання та перевiрку знань з питань охорони працi, надання домедичної допомоги потерпiлим вiд нещасних випадкiв, а також правил поведiнки у разi виникнення аварiї, попереднiй та перiодичнi медичнi огляди з метою визначення  стану здоров'я працiвника та можливостi виконання без </w:t>
            </w:r>
            <w:r w:rsidRPr="00D275D9">
              <w:rPr>
                <w:rFonts w:ascii="Times New Roman CYR" w:eastAsiaTheme="minorEastAsia" w:hAnsi="Times New Roman CYR" w:cs="Times New Roman CYR"/>
                <w:sz w:val="24"/>
                <w:szCs w:val="24"/>
              </w:rPr>
              <w:lastRenderedPageBreak/>
              <w:t>погiршення стану здоров'я професiйних обов'язкiв в умовах дiї конкретних шкiдливих та небезпечних факторiв виробничого середовища i трудового процесу.</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Умови працi на робочому мiсцi, безпека технологiчних процесiв, машин, механiзмiв, устаткування та iнших засобiв виробництва, стан засобiв колективного та iндивiдуального захисту, що використовуються працiвником, а також санiтарно-побутовi умови вiдповiдають вимогам законодавства та закрiпленi в Колективному договорi, що доведено шляхом проходження мiжнародних аудитiв з питань охорони працi у рамках дiючої iнтегрованої системи управлiнням пiдприємством.</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Безпека працi в Товариствi пiдтримується шляхом виконання заходiв щодо запобiгання травматизму та посилення особистої вiдповiдальностi працiвникiв для забезпечення належних, безпечних i здорових умов працi.</w:t>
            </w:r>
          </w:p>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 Заходи, які планується здійснити / здійснюються для мінімізації/усунення кожного із ризиків:</w:t>
            </w:r>
          </w:p>
        </w:tc>
        <w:tc>
          <w:tcPr>
            <w:tcW w:w="5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застосування найкращих практик управлiння людським капiталом</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3</w:t>
            </w: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Основні положення політики з питань захисту довкілля та соціальної відповідальності:</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Перелік політик з питань захисту довкілля та соціальної відповідальності та опис питань, які такі політики покликані вирішити:</w:t>
            </w:r>
          </w:p>
        </w:tc>
        <w:tc>
          <w:tcPr>
            <w:tcW w:w="5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 xml:space="preserve">Екологiчна полiтика ПрАТ "ЄВРОКАР" розроблена з метою мiнiмiзацiї антропогенного впливу на довкiлля, який виникає в результатi виробничої дiяльностi, керiвництво ПрАТ "Єврокар", усвiдомлюючи важливiсть та свою вiдповiдальнiсть, ставить прiоритетом мiнiмiзувати цей вплив i забезпечити високий рiвень корпоративної соцiальної вiдповiдальностi в частинi захисту навколишнього природного середовища шляхом виконання принципiв екологiчної полiтики. Основнi принципи екологiчної полiтики ПрАТ "Єврокар": · враховувати iстотнi зовнiшнi i внутрiшнi чинники, контекст та обставини, що стосуються дiяльностi пiдприємства стосовно впливу на навколишнє середовище; · здiйснювати виробничу дiяльнiсть згiдно з вимогами нормативних документiв та екологiчного законодавства України; · зменшувати ступiнь екологiчного впливу виробничої дiяльностi пiдприємства на навколишнє середовище; · </w:t>
            </w:r>
            <w:r w:rsidRPr="00D275D9">
              <w:rPr>
                <w:rFonts w:ascii="Times New Roman CYR" w:eastAsiaTheme="minorEastAsia" w:hAnsi="Times New Roman CYR" w:cs="Times New Roman CYR"/>
                <w:sz w:val="24"/>
                <w:szCs w:val="24"/>
              </w:rPr>
              <w:lastRenderedPageBreak/>
              <w:t>забезпечувати готовнiсть до надзвичайних ситуацiй, якi потенцiйно можуть впливати на навколишнє середовище, своєчасно реагувати та мiнiмiзувати їх можливi наслiдки; · забезпечувати планування та видiлення необхiдних ресурсiв для виконання вимог щодо охорони навколишнього середовища; · сприяти модернiзацiї виробництва, спрямованiй на зменшення негативного впливу на навколишнє середовище та збалансоване використання ресурсiв; · забезпечувати контроль у сферi охорони навколишнього середовища з метою дотримання вимог, що є обов'язковими для виконання; · пiдвищувати рiвень обiзнаностi персоналу у сферi охорони навколишнього середовища та стосовно екологiчних аспектiв; · спiвробiтництво в галузi охорони навколишнього середовища iз зацiкавленими органiзацiями та громадськiстю, вiдкрите iнформування з питань екологiчної дiяльностi пiдприємства; · здiйснювати регулярний перегляд цих зобов'язань з метою забезпечення вiдповiдностi сучасним вимогам.</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lastRenderedPageBreak/>
              <w:t>4</w:t>
            </w: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Перелік питань, які розглядались виконавчим органом та короткий зміст рішень, які було прийнято:</w:t>
            </w:r>
          </w:p>
        </w:tc>
        <w:tc>
          <w:tcPr>
            <w:tcW w:w="5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 звiтному перiодi не розглядались</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47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2. Перелік питань, які розглядались радою та короткий зміст рішень, які було прийнято:</w:t>
            </w:r>
          </w:p>
        </w:tc>
        <w:tc>
          <w:tcPr>
            <w:tcW w:w="50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у звiтному перiодi не розглядались</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5</w:t>
            </w: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Перелік ключових стейкхолдерів, на яких має вплив діяльність особи із зазначенням обґрунтування в чому саме полягає такий вплив:</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1)  Працiвники товариства. Кар'єрне зростання, пiдвищення квалiфiкацiї, дотримання трудового законодавства, соцiальний пакет, гiдний рiвень зарплатнi. Створення умов для розкриття потенцiалу кожного та розвитку компетенцiй, якi потрiбнi для досягнення стратегiчних задач Товариства.</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6</w:t>
            </w: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Акцiонери Товариства шляхом прийняття рiшень вiдповiдно до вимог Закону України "Про акцiонернi товариства".</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7</w:t>
            </w: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Основні положення політики щодо взаємодії зі стейкхолдерами, у тому числі акціонерами/учасниками:</w:t>
            </w:r>
          </w:p>
        </w:tc>
      </w:tr>
      <w:tr w:rsidR="00D275D9" w:rsidRPr="00D275D9">
        <w:tblPrEx>
          <w:tblCellMar>
            <w:top w:w="0" w:type="dxa"/>
            <w:bottom w:w="0" w:type="dxa"/>
          </w:tblCellMar>
        </w:tblPrEx>
        <w:trPr>
          <w:trHeight w:val="200"/>
        </w:trPr>
        <w:tc>
          <w:tcPr>
            <w:tcW w:w="30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sz w:val="24"/>
                <w:szCs w:val="24"/>
              </w:rPr>
            </w:pPr>
          </w:p>
        </w:tc>
        <w:tc>
          <w:tcPr>
            <w:tcW w:w="9700" w:type="dxa"/>
            <w:gridSpan w:val="2"/>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rPr>
                <w:rFonts w:ascii="Times New Roman CYR" w:eastAsiaTheme="minorEastAsia" w:hAnsi="Times New Roman CYR" w:cs="Times New Roman CYR"/>
                <w:sz w:val="24"/>
                <w:szCs w:val="24"/>
              </w:rPr>
            </w:pPr>
            <w:r w:rsidRPr="00D275D9">
              <w:rPr>
                <w:rFonts w:ascii="Times New Roman CYR" w:eastAsiaTheme="minorEastAsia" w:hAnsi="Times New Roman CYR" w:cs="Times New Roman CYR"/>
                <w:sz w:val="24"/>
                <w:szCs w:val="24"/>
              </w:rPr>
              <w:t>Полiтика щодо взаємодiї зi стейкхолдерами, у тому числi акцiонерами / учасниками вiдсутня</w:t>
            </w:r>
          </w:p>
        </w:tc>
      </w:tr>
    </w:tbl>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VI. Список посилань на регульовану інформацію, яка була розкрита протягом звітного року</w:t>
      </w: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Проміжна інформація</w:t>
      </w:r>
    </w:p>
    <w:p w:rsidR="008D0B53" w:rsidRPr="008D0B53" w:rsidRDefault="008D0B53">
      <w:pPr>
        <w:widowControl w:val="0"/>
        <w:autoSpaceDE w:val="0"/>
        <w:autoSpaceDN w:val="0"/>
        <w:adjustRightInd w:val="0"/>
        <w:spacing w:after="0" w:line="240" w:lineRule="auto"/>
        <w:rPr>
          <w:rFonts w:ascii="Times New Roman" w:hAnsi="Times New Roman"/>
          <w:sz w:val="24"/>
          <w:szCs w:val="24"/>
          <w:shd w:val="clear" w:color="auto" w:fill="FFFFFF"/>
          <w:lang w:val="en-US"/>
        </w:rPr>
      </w:pPr>
      <w:hyperlink r:id="rId10" w:tgtFrame="_blank" w:history="1">
        <w:r w:rsidRPr="008D0B53">
          <w:rPr>
            <w:rStyle w:val="a8"/>
            <w:rFonts w:ascii="Times New Roman" w:hAnsi="Times New Roman"/>
            <w:color w:val="auto"/>
            <w:sz w:val="24"/>
            <w:szCs w:val="24"/>
            <w:shd w:val="clear" w:color="auto" w:fill="FFFFFF"/>
          </w:rPr>
          <w:t>https://www.skoda-auto.ua/_doc/81132267-328e-41ab-a2ab-fa8db1efc8aa</w:t>
        </w:r>
      </w:hyperlink>
      <w:r w:rsidRPr="008D0B53">
        <w:rPr>
          <w:rFonts w:ascii="Times New Roman" w:hAnsi="Times New Roman"/>
          <w:sz w:val="24"/>
          <w:szCs w:val="24"/>
          <w:shd w:val="clear" w:color="auto" w:fill="FFFFFF"/>
        </w:rPr>
        <w:t> </w:t>
      </w:r>
    </w:p>
    <w:p w:rsidR="008D0B53" w:rsidRDefault="008D0B53">
      <w:pPr>
        <w:widowControl w:val="0"/>
        <w:autoSpaceDE w:val="0"/>
        <w:autoSpaceDN w:val="0"/>
        <w:adjustRightInd w:val="0"/>
        <w:spacing w:after="0" w:line="240" w:lineRule="auto"/>
        <w:rPr>
          <w:rFonts w:cs="Calibri"/>
          <w:color w:val="000000"/>
          <w:sz w:val="19"/>
          <w:szCs w:val="19"/>
          <w:shd w:val="clear" w:color="auto" w:fill="FFFFFF"/>
          <w:lang w:val="en-US"/>
        </w:rPr>
      </w:pPr>
    </w:p>
    <w:p w:rsidR="00D275D9" w:rsidRDefault="00D275D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URL-адреси, за якими розміщена інформація, яка розкривалася протягом звітного року</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Відомості про зміну складу посадових осіб емітента</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26.01.2024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https://www.skoda-auto.ua/company/emitent-info-2024 </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Відомості про зміну складу посадових осіб емітента</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13.02.2024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https://www.skoda-auto.ua/company/emitent-info-2024</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Відомості про зміну складу посадових осіб емітента</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06.05.2024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https://www.skoda-auto.ua/company/emitent-info-2024</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Відомості про прийняття рішення про попереднє надання згоди на вчинення значних правочинів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08.05.2024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https://www.skoda-auto.ua/company/emitent-info-2024</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5</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Відомості про зміну складу посадових осіб емітента</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08.05.2024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https://www.skoda-auto.ua/company/emitent-info-2024</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6</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Відомості про зміну складу посадових осіб емітента</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30.09.2024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https://www.skoda-auto.ua/company/emitent-info-2024</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b/>
          <w:bCs/>
          <w:i/>
          <w:iCs/>
          <w:sz w:val="24"/>
          <w:szCs w:val="24"/>
        </w:rPr>
      </w:pPr>
      <w:r>
        <w:rPr>
          <w:rFonts w:ascii="Times New Roman CYR" w:hAnsi="Times New Roman CYR" w:cs="Times New Roman CYR"/>
          <w:b/>
          <w:bCs/>
          <w:i/>
          <w:iCs/>
          <w:sz w:val="24"/>
          <w:szCs w:val="24"/>
        </w:rPr>
        <w:t>3. Інша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450"/>
        <w:gridCol w:w="1500"/>
        <w:gridCol w:w="5500"/>
      </w:tblGrid>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Вид іншої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URL-адреси, за якими розміщена інформація, яка розкривалася протягом звітного року</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4</w:t>
            </w: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Відомості про проведення загальних зборів</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Повiдомлення про скликання загальних зборiв акцiонерiв на 30.04.2024</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29.03.2024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https://www.skoda-auto.ua/company/general-meeting-30-04-24 </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 xml:space="preserve">https://smida.gov.ua/db/feed/109596 </w:t>
            </w: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tc>
      </w:tr>
      <w:tr w:rsidR="00D275D9" w:rsidRPr="00D275D9">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p>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Протокол загальних зборiв акцiонерiв</w:t>
            </w:r>
          </w:p>
        </w:tc>
        <w:tc>
          <w:tcPr>
            <w:tcW w:w="1500" w:type="dxa"/>
            <w:tcBorders>
              <w:top w:val="single" w:sz="6" w:space="0" w:color="auto"/>
              <w:left w:val="single" w:sz="6" w:space="0" w:color="auto"/>
              <w:bottom w:val="single" w:sz="6" w:space="0" w:color="auto"/>
              <w:right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08.05.2024</w:t>
            </w:r>
          </w:p>
        </w:tc>
        <w:tc>
          <w:tcPr>
            <w:tcW w:w="5500" w:type="dxa"/>
            <w:tcBorders>
              <w:top w:val="single" w:sz="6" w:space="0" w:color="auto"/>
              <w:left w:val="single" w:sz="6" w:space="0" w:color="auto"/>
              <w:bottom w:val="single" w:sz="6" w:space="0" w:color="auto"/>
            </w:tcBorders>
          </w:tcPr>
          <w:p w:rsidR="00D275D9" w:rsidRPr="00D275D9" w:rsidRDefault="00D275D9">
            <w:pPr>
              <w:widowControl w:val="0"/>
              <w:autoSpaceDE w:val="0"/>
              <w:autoSpaceDN w:val="0"/>
              <w:adjustRightInd w:val="0"/>
              <w:spacing w:after="0" w:line="240" w:lineRule="auto"/>
              <w:jc w:val="center"/>
              <w:rPr>
                <w:rFonts w:ascii="Times New Roman CYR" w:eastAsiaTheme="minorEastAsia" w:hAnsi="Times New Roman CYR" w:cs="Times New Roman CYR"/>
              </w:rPr>
            </w:pPr>
            <w:r w:rsidRPr="00D275D9">
              <w:rPr>
                <w:rFonts w:ascii="Times New Roman CYR" w:eastAsiaTheme="minorEastAsia" w:hAnsi="Times New Roman CYR" w:cs="Times New Roman CYR"/>
              </w:rPr>
              <w:t>https://www.skoda-auto.ua/company/general-meeting-30-04-24</w:t>
            </w:r>
          </w:p>
        </w:tc>
      </w:tr>
    </w:tbl>
    <w:p w:rsidR="00D275D9" w:rsidRDefault="00D275D9">
      <w:pPr>
        <w:widowControl w:val="0"/>
        <w:autoSpaceDE w:val="0"/>
        <w:autoSpaceDN w:val="0"/>
        <w:adjustRightInd w:val="0"/>
        <w:spacing w:after="0" w:line="240" w:lineRule="auto"/>
        <w:rPr>
          <w:rFonts w:ascii="Times New Roman CYR" w:hAnsi="Times New Roman CYR" w:cs="Times New Roman CYR"/>
        </w:rPr>
      </w:pPr>
    </w:p>
    <w:p w:rsidR="00D275D9" w:rsidRDefault="00D275D9">
      <w:pPr>
        <w:widowControl w:val="0"/>
        <w:autoSpaceDE w:val="0"/>
        <w:autoSpaceDN w:val="0"/>
        <w:adjustRightInd w:val="0"/>
        <w:spacing w:after="0" w:line="240" w:lineRule="auto"/>
        <w:rPr>
          <w:rFonts w:ascii="Times New Roman CYR" w:hAnsi="Times New Roman CYR" w:cs="Times New Roman CYR"/>
        </w:rPr>
      </w:pPr>
    </w:p>
    <w:sectPr w:rsidR="00D275D9">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A20" w:rsidRDefault="007E7A20" w:rsidP="00D275D9">
      <w:pPr>
        <w:spacing w:after="0" w:line="240" w:lineRule="auto"/>
      </w:pPr>
      <w:r>
        <w:separator/>
      </w:r>
    </w:p>
  </w:endnote>
  <w:endnote w:type="continuationSeparator" w:id="0">
    <w:p w:rsidR="007E7A20" w:rsidRDefault="007E7A20" w:rsidP="00D275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A20" w:rsidRDefault="007E7A20" w:rsidP="00D275D9">
      <w:pPr>
        <w:spacing w:after="0" w:line="240" w:lineRule="auto"/>
      </w:pPr>
      <w:r>
        <w:separator/>
      </w:r>
    </w:p>
  </w:footnote>
  <w:footnote w:type="continuationSeparator" w:id="0">
    <w:p w:rsidR="007E7A20" w:rsidRDefault="007E7A20" w:rsidP="00D275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5D9" w:rsidRDefault="00D275D9">
    <w:pPr>
      <w:pStyle w:val="a3"/>
      <w:jc w:val="center"/>
    </w:pPr>
    <w:fldSimple w:instr=" PAGE   \* MERGEFORMAT ">
      <w:r w:rsidR="008D0B53">
        <w:rPr>
          <w:noProof/>
        </w:rPr>
        <w:t>73</w:t>
      </w:r>
    </w:fldSimple>
  </w:p>
  <w:p w:rsidR="00D275D9" w:rsidRDefault="00D275D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D275D9"/>
    <w:rsid w:val="00797527"/>
    <w:rsid w:val="007E7A20"/>
    <w:rsid w:val="008D0B53"/>
    <w:rsid w:val="00D275D9"/>
    <w:rsid w:val="00D52CE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75D9"/>
    <w:pPr>
      <w:tabs>
        <w:tab w:val="center" w:pos="4819"/>
        <w:tab w:val="right" w:pos="9639"/>
      </w:tabs>
    </w:pPr>
  </w:style>
  <w:style w:type="character" w:customStyle="1" w:styleId="a4">
    <w:name w:val="Верхний колонтитул Знак"/>
    <w:basedOn w:val="a0"/>
    <w:link w:val="a3"/>
    <w:uiPriority w:val="99"/>
    <w:rsid w:val="00D275D9"/>
  </w:style>
  <w:style w:type="paragraph" w:styleId="a5">
    <w:name w:val="footer"/>
    <w:basedOn w:val="a"/>
    <w:link w:val="a6"/>
    <w:uiPriority w:val="99"/>
    <w:semiHidden/>
    <w:unhideWhenUsed/>
    <w:rsid w:val="00D275D9"/>
    <w:pPr>
      <w:tabs>
        <w:tab w:val="center" w:pos="4819"/>
        <w:tab w:val="right" w:pos="9639"/>
      </w:tabs>
    </w:pPr>
  </w:style>
  <w:style w:type="character" w:customStyle="1" w:styleId="a6">
    <w:name w:val="Нижний колонтитул Знак"/>
    <w:basedOn w:val="a0"/>
    <w:link w:val="a5"/>
    <w:uiPriority w:val="99"/>
    <w:semiHidden/>
    <w:rsid w:val="00D275D9"/>
  </w:style>
  <w:style w:type="table" w:styleId="a7">
    <w:name w:val="Table Grid"/>
    <w:basedOn w:val="a1"/>
    <w:uiPriority w:val="59"/>
    <w:rsid w:val="00D275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79752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koda-auto.ua/_doc/9a74a238-d33f-4314-be12-696809191ac0" TargetMode="External"/><Relationship Id="rId3" Type="http://schemas.openxmlformats.org/officeDocument/2006/relationships/webSettings" Target="webSettings.xml"/><Relationship Id="rId7" Type="http://schemas.openxmlformats.org/officeDocument/2006/relationships/hyperlink" Target="https://www.skoda-auto.ua/company/statements24"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skoda-auto.ua/_doc/81132267-328e-41ab-a2ab-fa8db1efc8aa" TargetMode="External"/><Relationship Id="rId4" Type="http://schemas.openxmlformats.org/officeDocument/2006/relationships/footnotes" Target="footnotes.xml"/><Relationship Id="rId9" Type="http://schemas.openxmlformats.org/officeDocument/2006/relationships/hyperlink" Target="https://www.skoda-auto.ua/_doc/98c11493-347f-4800-8399-d55f460cf9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74</Pages>
  <Words>98473</Words>
  <Characters>56130</Characters>
  <Application>Microsoft Office Word</Application>
  <DocSecurity>0</DocSecurity>
  <Lines>467</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3</cp:revision>
  <dcterms:created xsi:type="dcterms:W3CDTF">2025-10-30T11:13:00Z</dcterms:created>
  <dcterms:modified xsi:type="dcterms:W3CDTF">2025-10-30T11:24:00Z</dcterms:modified>
</cp:coreProperties>
</file>