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D1EBD">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27.10.2025</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362</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комiсiї з п</w:t>
            </w:r>
            <w:r>
              <w:rPr>
                <w:rFonts w:ascii="Times New Roman CYR" w:hAnsi="Times New Roman CYR" w:cs="Times New Roman CYR"/>
                <w:sz w:val="24"/>
                <w:szCs w:val="24"/>
              </w:rPr>
              <w:t>рипинення</w:t>
            </w: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Боярин О.П.</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00000" w:rsidRDefault="00FD1E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"Єврокар" (30913130)</w:t>
      </w:r>
    </w:p>
    <w:p w:rsidR="00000000" w:rsidRDefault="00FD1E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2024 року</w:t>
      </w:r>
    </w:p>
    <w:p w:rsidR="00000000" w:rsidRDefault="00FD1EBD">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 </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w:t>
      </w:r>
      <w:r>
        <w:rPr>
          <w:rFonts w:ascii="Times New Roman CYR" w:hAnsi="Times New Roman CYR" w:cs="Times New Roman CYR"/>
          <w:sz w:val="24"/>
          <w:szCs w:val="24"/>
        </w:rPr>
        <w:t xml:space="preserve"> ринку України", 21676262, Україна, DR/00002/ARM</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4949"/>
        <w:gridCol w:w="236"/>
        <w:gridCol w:w="1669"/>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https://www.skoda-auto.ua/company/interim-information-of-the-issuer-of-securities-for-2</w:t>
            </w:r>
            <w:r>
              <w:rPr>
                <w:rFonts w:ascii="Times New Roman CYR" w:hAnsi="Times New Roman CYR" w:cs="Times New Roman CYR"/>
                <w:sz w:val="24"/>
                <w:szCs w:val="24"/>
              </w:rPr>
              <w:t>024</w:t>
            </w: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27.10.2025</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sectPr w:rsidR="00000000">
          <w:headerReference w:type="default" r:id="rId6"/>
          <w:pgSz w:w="12240" w:h="15840"/>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за 2 квартал 2024 року не був затверджений жодним iз органiв Товариства, тому що законодавством, статутом та внутрiшнiми документами Товариства не передбачено затвердження промiжного звiту.</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w:t>
      </w:r>
      <w:r>
        <w:rPr>
          <w:rFonts w:ascii="Times New Roman CYR" w:hAnsi="Times New Roman CYR" w:cs="Times New Roman CYR"/>
          <w:sz w:val="24"/>
          <w:szCs w:val="24"/>
        </w:rPr>
        <w:t>кими надається забезпечення не надається, тому що Товариство не є особою, яка надає забезпечення.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w:t>
      </w:r>
      <w:r>
        <w:rPr>
          <w:rFonts w:ascii="Times New Roman CYR" w:hAnsi="Times New Roman CYR" w:cs="Times New Roman CYR"/>
          <w:sz w:val="24"/>
          <w:szCs w:val="24"/>
        </w:rPr>
        <w:t>формацiя про рейтингове агентство не надається, тому що Товариства не визначає рейтингової оцiнки емiтента або цiнних паперiв вiдповiдно до ст. 4-1 Закону України "Про державне регулювання ринкiв капiталу та органiзованих товарних ринкiв".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w:t>
      </w:r>
      <w:r>
        <w:rPr>
          <w:rFonts w:ascii="Times New Roman CYR" w:hAnsi="Times New Roman CYR" w:cs="Times New Roman CYR"/>
          <w:sz w:val="24"/>
          <w:szCs w:val="24"/>
        </w:rPr>
        <w:t>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кiнець звiтного перiоду, стороною в яких виступає Товариство.</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w:t>
      </w:r>
      <w:r>
        <w:rPr>
          <w:rFonts w:ascii="Times New Roman CYR" w:hAnsi="Times New Roman CYR" w:cs="Times New Roman CYR"/>
          <w:sz w:val="24"/>
          <w:szCs w:val="24"/>
        </w:rPr>
        <w:t>но вказати iнформацiю про засновникiв, така iнформацiя наводиться нижче:</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є двi фiзичнi особи: Боярин Олег Петрович, Царенко Iгор Анатолiйович.</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корпоративного секретаря не надається, тому що на кiнець звiтного перiоду посада ко</w:t>
      </w:r>
      <w:r>
        <w:rPr>
          <w:rFonts w:ascii="Times New Roman CYR" w:hAnsi="Times New Roman CYR" w:cs="Times New Roman CYR"/>
          <w:sz w:val="24"/>
          <w:szCs w:val="24"/>
        </w:rPr>
        <w:t>рпоративного секретаря в Товариствi була вiдсутня.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Товариства не надається, тому що посадовi особи акцiями Товариства не володiють.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вiдокремлених пiдроздiлiв не надається, тому що Т</w:t>
      </w:r>
      <w:r>
        <w:rPr>
          <w:rFonts w:ascii="Times New Roman CYR" w:hAnsi="Times New Roman CYR" w:cs="Times New Roman CYR"/>
          <w:sz w:val="24"/>
          <w:szCs w:val="24"/>
        </w:rPr>
        <w:t>овариство не має вiдокремлених пiдроздiлiв.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такi обмеження вiдсутнi.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w:t>
      </w:r>
      <w:r>
        <w:rPr>
          <w:rFonts w:ascii="Times New Roman CYR" w:hAnsi="Times New Roman CYR" w:cs="Times New Roman CYR"/>
          <w:sz w:val="24"/>
          <w:szCs w:val="24"/>
        </w:rPr>
        <w:t xml:space="preserve"> надається, тому що Товариство не випускало iнших цiнних паперiв.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w:t>
      </w:r>
      <w:r>
        <w:rPr>
          <w:rFonts w:ascii="Times New Roman CYR" w:hAnsi="Times New Roman CYR" w:cs="Times New Roman CYR"/>
          <w:sz w:val="24"/>
          <w:szCs w:val="24"/>
        </w:rPr>
        <w:t>ому що Товариство не випускало забезпечених боргових цiнних паперiв.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(у разi емiсiї цiльових корпоративних облiгацiй, виконання зобов'язань за якими здiйснюється шляхом передання об'єкта (частини об'єкта) житлового будiвн</w:t>
      </w:r>
      <w:r>
        <w:rPr>
          <w:rFonts w:ascii="Times New Roman CYR" w:hAnsi="Times New Roman CYR" w:cs="Times New Roman CYR"/>
          <w:sz w:val="24"/>
          <w:szCs w:val="24"/>
        </w:rPr>
        <w:t xml:space="preserve">ицтва) не надається, тому що Товариство не випускало цiльових корпоративних облiгацiй, виконання зобов'язань за якими </w:t>
      </w:r>
      <w:r>
        <w:rPr>
          <w:rFonts w:ascii="Times New Roman CYR" w:hAnsi="Times New Roman CYR" w:cs="Times New Roman CYR"/>
          <w:sz w:val="24"/>
          <w:szCs w:val="24"/>
        </w:rPr>
        <w:lastRenderedPageBreak/>
        <w:t>здiйснюється шляхом об'єкта (частини об'єкта) житлового будiвництва.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придбання власних акцiй протягом звiтного перiоду не </w:t>
      </w:r>
      <w:r>
        <w:rPr>
          <w:rFonts w:ascii="Times New Roman CYR" w:hAnsi="Times New Roman CYR" w:cs="Times New Roman CYR"/>
          <w:sz w:val="24"/>
          <w:szCs w:val="24"/>
        </w:rPr>
        <w:t>надається, тому що Товариство не придбавало власних акцiй протягом звiтного перiоду.</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цiнних паперiв (крiм акцiй) такої особи не надається, тому що Товариство не випускало iнших цiнних паперiв, крiм ак</w:t>
      </w:r>
      <w:r>
        <w:rPr>
          <w:rFonts w:ascii="Times New Roman CYR" w:hAnsi="Times New Roman CYR" w:cs="Times New Roman CYR"/>
          <w:sz w:val="24"/>
          <w:szCs w:val="24"/>
        </w:rPr>
        <w:t>цiй.</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акцiй у розмiрi понад 0,1% розмiру статутного капiталу не надається, тому що працiвники Товариства не володiють акцiями Товариства.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такi обмеження вiдсутнi.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щодо огляду пр</w:t>
      </w:r>
      <w:r>
        <w:rPr>
          <w:rFonts w:ascii="Times New Roman CYR" w:hAnsi="Times New Roman CYR" w:cs="Times New Roman CYR"/>
          <w:sz w:val="24"/>
          <w:szCs w:val="24"/>
        </w:rPr>
        <w:t>омiжної фiнансової звiтностi не надається, тому що Товариством не залучався суб'єкт аудиторської дiяльностi для перевiрки промiжної фiнансової звiтностi Товариства.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не надається, тому що такi правочини в Товарист</w:t>
      </w:r>
      <w:r>
        <w:rPr>
          <w:rFonts w:ascii="Times New Roman CYR" w:hAnsi="Times New Roman CYR" w:cs="Times New Roman CYR"/>
          <w:sz w:val="24"/>
          <w:szCs w:val="24"/>
        </w:rPr>
        <w:t>вi в звiтному перiодi не вчинялись.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правочинiв, щодо вчинення яких є заiнтересованiсть, не надається, тому що такi правочини в Товариствi в звiтному перiодi не вчинялись.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емiтента, складена за положенн</w:t>
      </w:r>
      <w:r>
        <w:rPr>
          <w:rFonts w:ascii="Times New Roman CYR" w:hAnsi="Times New Roman CYR" w:cs="Times New Roman CYR"/>
          <w:sz w:val="24"/>
          <w:szCs w:val="24"/>
        </w:rPr>
        <w:t>ями (стандартами) бухгалтерського облiку не надається, тому що Товариство подає фiнансову звiтнiсть, складену за мiжнародними стандартами фiнансової звiтностi.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та консолiдована промiжна фiнансова звiтнiсть емiтента, складена з</w:t>
      </w:r>
      <w:r>
        <w:rPr>
          <w:rFonts w:ascii="Times New Roman CYR" w:hAnsi="Times New Roman CYR" w:cs="Times New Roman CYR"/>
          <w:sz w:val="24"/>
          <w:szCs w:val="24"/>
        </w:rPr>
        <w:t xml:space="preserve">а мiжнародними стандартами фiнансової звiтностi, не надається, тому що в р. III гл.I даного промiжного звiту зазначено посилання на URL-адреса вебсайту особи, за якою розмiщено промiжну фiнансову звiтнiсть на основi таксономiї фiнансової звiтностi.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w:t>
      </w:r>
      <w:r>
        <w:rPr>
          <w:rFonts w:ascii="Times New Roman CYR" w:hAnsi="Times New Roman CYR" w:cs="Times New Roman CYR"/>
          <w:sz w:val="24"/>
          <w:szCs w:val="24"/>
        </w:rPr>
        <w:t>мацiя стосовно РНОКПП та УНЗР деяких посадових осiб не надається, тому що РНОКПП та УНЗР в таких посадових осiб вiдсутнiй</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FD1E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до проміжного звіту</w:t>
      </w: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3477C3" w:rsidRDefault="003477C3">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Style w:val="a3"/>
        <w:tblW w:w="0" w:type="auto"/>
        <w:tblLook w:val="04A0"/>
      </w:tblPr>
      <w:tblGrid>
        <w:gridCol w:w="8330"/>
        <w:gridCol w:w="1830"/>
      </w:tblGrid>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I. Загальна інформація</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5</w:t>
            </w:r>
          </w:p>
        </w:tc>
      </w:tr>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1. Ідентифікаційні дані та загальна інформація</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5</w:t>
            </w:r>
          </w:p>
        </w:tc>
      </w:tr>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2. Органи управління та посадові особи. Організаційна структура</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8</w:t>
            </w:r>
          </w:p>
        </w:tc>
      </w:tr>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3. Структура власності</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14</w:t>
            </w:r>
          </w:p>
        </w:tc>
      </w:tr>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4. Опис господарської та фінансової діяльності</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14</w:t>
            </w:r>
          </w:p>
        </w:tc>
      </w:tr>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5. Участь в інших особах</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27</w:t>
            </w:r>
          </w:p>
        </w:tc>
      </w:tr>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II. Інформація щодо капіталу та цінних паперів</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27</w:t>
            </w:r>
          </w:p>
        </w:tc>
      </w:tr>
      <w:tr w:rsidR="003477C3" w:rsidTr="003477C3">
        <w:tc>
          <w:tcPr>
            <w:tcW w:w="8330" w:type="dxa"/>
          </w:tcPr>
          <w:p w:rsid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1. Цінні папери</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27</w:t>
            </w:r>
          </w:p>
        </w:tc>
      </w:tr>
      <w:tr w:rsidR="003477C3" w:rsidTr="003477C3">
        <w:tc>
          <w:tcPr>
            <w:tcW w:w="8330" w:type="dxa"/>
          </w:tcPr>
          <w:p w:rsidR="003477C3" w:rsidRP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III. Фінансова інформація</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3477C3" w:rsidTr="003477C3">
        <w:tc>
          <w:tcPr>
            <w:tcW w:w="8330" w:type="dxa"/>
          </w:tcPr>
          <w:p w:rsidR="003477C3" w:rsidRP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1. Проміжна фінансова звітність</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3477C3" w:rsidTr="003477C3">
        <w:tc>
          <w:tcPr>
            <w:tcW w:w="8330" w:type="dxa"/>
          </w:tcPr>
          <w:p w:rsidR="003477C3" w:rsidRP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3. Твердження щодо проміжної інформації</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3477C3" w:rsidTr="003477C3">
        <w:tc>
          <w:tcPr>
            <w:tcW w:w="8330" w:type="dxa"/>
          </w:tcPr>
          <w:p w:rsidR="003477C3" w:rsidRP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4. Значні правочини та правочини із заінтересованістю</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3477C3" w:rsidTr="003477C3">
        <w:tc>
          <w:tcPr>
            <w:tcW w:w="8330" w:type="dxa"/>
          </w:tcPr>
          <w:p w:rsidR="003477C3" w:rsidRP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IV. Нефінансова інформація</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3477C3" w:rsidTr="003477C3">
        <w:tc>
          <w:tcPr>
            <w:tcW w:w="8330" w:type="dxa"/>
          </w:tcPr>
          <w:p w:rsidR="003477C3" w:rsidRPr="003477C3" w:rsidRDefault="003477C3" w:rsidP="003477C3">
            <w:pPr>
              <w:widowControl w:val="0"/>
              <w:autoSpaceDE w:val="0"/>
              <w:autoSpaceDN w:val="0"/>
              <w:adjustRightInd w:val="0"/>
              <w:rPr>
                <w:rFonts w:ascii="Times New Roman CYR" w:hAnsi="Times New Roman CYR" w:cs="Times New Roman CYR"/>
                <w:sz w:val="24"/>
                <w:szCs w:val="24"/>
              </w:rPr>
            </w:pPr>
            <w:r w:rsidRPr="003477C3">
              <w:rPr>
                <w:rFonts w:ascii="Times New Roman CYR" w:hAnsi="Times New Roman CYR" w:cs="Times New Roman CYR"/>
                <w:sz w:val="24"/>
                <w:szCs w:val="24"/>
              </w:rPr>
              <w:t>1. Проміжний звіт керівництва</w:t>
            </w:r>
          </w:p>
        </w:tc>
        <w:tc>
          <w:tcPr>
            <w:tcW w:w="1830" w:type="dxa"/>
          </w:tcPr>
          <w:p w:rsidR="003477C3" w:rsidRDefault="00AF4462">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bl>
    <w:p w:rsidR="003477C3" w:rsidRDefault="003477C3">
      <w:pPr>
        <w:widowControl w:val="0"/>
        <w:autoSpaceDE w:val="0"/>
        <w:autoSpaceDN w:val="0"/>
        <w:adjustRightInd w:val="0"/>
        <w:spacing w:after="0" w:line="240" w:lineRule="auto"/>
        <w:jc w:val="center"/>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w:t>
      </w:r>
      <w:r>
        <w:rPr>
          <w:rFonts w:ascii="Times New Roman CYR" w:hAnsi="Times New Roman CYR" w:cs="Times New Roman CYR"/>
          <w:b/>
          <w:bCs/>
          <w:i/>
          <w:iCs/>
          <w:sz w:val="24"/>
          <w:szCs w:val="24"/>
        </w:rPr>
        <w:t>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30913130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14.04.2000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89460, Україна, Закарпатська обл., Ужгородський р-н р-н, с. Соломоново, вул.Перемоги, 46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eurocar@eurocar.ua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https://www.skoda-auto.ua/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(0312) 646130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234475796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261</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29.10 - Виробництво автотранспортних засобiв</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33.20 - Установлення та монтаж машин та устаткування</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29.32 - Виробництво iнших вузлiв, деталей i приладдя для автотранспортних засобiв</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200"/>
        <w:gridCol w:w="2200"/>
        <w:gridCol w:w="2200"/>
        <w:gridCol w:w="4400"/>
        <w:gridCol w:w="3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Інформація про виконання</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845/ж10/31-00-04-02-02-32</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19.04.2024</w:t>
            </w:r>
          </w:p>
        </w:tc>
        <w:tc>
          <w:tcPr>
            <w:tcW w:w="2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Порушення правил сплати грошового зобов'язання/ порушення строку зарахування податкiв до бюджетiв або державних цiльових фондiв з податку на прибуток iноземних юридичних осiб</w:t>
            </w:r>
            <w:r>
              <w:rPr>
                <w:rFonts w:ascii="Times New Roman CYR" w:hAnsi="Times New Roman CYR" w:cs="Times New Roman CYR"/>
                <w:sz w:val="20"/>
                <w:szCs w:val="20"/>
              </w:rPr>
              <w:t xml:space="preserve"> (4851,25 грн.)</w:t>
            </w:r>
          </w:p>
        </w:tc>
        <w:tc>
          <w:tcPr>
            <w:tcW w:w="44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Пп.69.1 п.69. пiдроздiл 10 роздiл ХХ та пункт 31.3 ст.31.3 ПК України</w:t>
            </w:r>
          </w:p>
        </w:tc>
        <w:tc>
          <w:tcPr>
            <w:tcW w:w="385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08.05.2024, сплачено</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948/ж10/31-00-04-02-02-32</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25.04.2024</w:t>
            </w:r>
          </w:p>
        </w:tc>
        <w:tc>
          <w:tcPr>
            <w:tcW w:w="2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Порушення правил сплати грошового зобов'язання/ порушення строку зарахування податкiв до бюджетiв або державних цiльових фондiв з акцизного податку (34179,72 грн.)</w:t>
            </w:r>
          </w:p>
        </w:tc>
        <w:tc>
          <w:tcPr>
            <w:tcW w:w="44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Пп.69.1 п.69. пiдроздiл 10 роздiл ХХ та пункт 31.3 ст.31.3 ПК України</w:t>
            </w:r>
          </w:p>
        </w:tc>
        <w:tc>
          <w:tcPr>
            <w:tcW w:w="385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17.05.2024, сплачено</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(чотири) акцiонери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iменних цiнних паперiв</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(п'ять)</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 Вiнфрiд Фаланд</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Голови Наглядової Ради - Панов Володимир Олексiйович</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Члени наглядової ради: Чернобай Дмитро Михайлович, Боярин Петро Iллiч, Боярин Вiктор Олегович</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 - 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(один)</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 - генеральний директор</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Вiнфрiд Фаланд</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Volvo Car Corporation (Швецiя)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556074-3089</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Ради директорiв;</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Eldor Corporation S.p.A., 02390960132 - голова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Proton Holdings Berhad , 200301020757 (623177-A) - член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Vibracoustic AG (Registration No. HRB 98601), DE813973055 - член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Polestar Automotive Holding UK PLC</w:t>
            </w:r>
            <w:r>
              <w:rPr>
                <w:rFonts w:ascii="Times New Roman CYR" w:hAnsi="Times New Roman CYR" w:cs="Times New Roman CYR"/>
                <w:sz w:val="20"/>
                <w:szCs w:val="20"/>
              </w:rPr>
              <w:t>, 13624182,  директор (член) ради директорiв, голова ради директорiв</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 до переобрання</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Панов Володимир Олексiйович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49</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"СТС",  32784440,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"СЕЗПАРКСЕРВIС"  34676141,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w:t>
            </w:r>
            <w:r>
              <w:rPr>
                <w:rFonts w:ascii="Times New Roman CYR" w:hAnsi="Times New Roman CYR" w:cs="Times New Roman CYR"/>
                <w:sz w:val="20"/>
                <w:szCs w:val="20"/>
              </w:rPr>
              <w:t>ЬНIСТЮ "ВIКО-СПОРТ" 22081542,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федерацiя роботодавцiв Закарпаття, 38015500, голова органiзацiї роботодавцiв;</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"Обласне об'єднання роботодавцiв Закарпаття", 26464101, голова об'єднання роботодавцiв;</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Закарпатська обласна органiзацiя машино</w:t>
            </w:r>
            <w:r>
              <w:rPr>
                <w:rFonts w:ascii="Times New Roman CYR" w:hAnsi="Times New Roman CYR" w:cs="Times New Roman CYR"/>
                <w:sz w:val="20"/>
                <w:szCs w:val="20"/>
              </w:rPr>
              <w:t>будування, 38369635, голова органiзацiї;</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органiзацiя рекреацiї та туризму Закарпаття, 38369640, голова органiзацiї;</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Благодійний фонд "Фонд стратегiчних дослiджень", 25444883,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Благодійний фонд "Карпатський Єврорегiон", 22114974, директо</w:t>
            </w:r>
            <w:r>
              <w:rPr>
                <w:rFonts w:ascii="Times New Roman CYR" w:hAnsi="Times New Roman CYR" w:cs="Times New Roman CYR"/>
                <w:sz w:val="20"/>
                <w:szCs w:val="20"/>
              </w:rPr>
              <w:t>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"СОЛОМОНОВО ДЕВЕЛОПМЕНТ ПАРК", 45230861,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Чернобай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член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член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Петро Iллiч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"Академiя", 21545293,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генеральний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Вiктор Олегович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легенда"</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3360053</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Київ", 31904127,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Днiпро", 32312667,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свобода",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w:t>
            </w:r>
            <w:r>
              <w:rPr>
                <w:rFonts w:ascii="Times New Roman CYR" w:hAnsi="Times New Roman CYR" w:cs="Times New Roman CYR"/>
                <w:sz w:val="20"/>
                <w:szCs w:val="20"/>
              </w:rPr>
              <w:lastRenderedPageBreak/>
              <w:t>вiдповiдальнiстю "Єврокар Сервiс", 20058711, член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w:t>
            </w:r>
            <w:r>
              <w:rPr>
                <w:rFonts w:ascii="Times New Roman CYR" w:hAnsi="Times New Roman CYR" w:cs="Times New Roman CYR"/>
                <w:sz w:val="20"/>
                <w:szCs w:val="20"/>
              </w:rPr>
              <w:t>дповiдальнiстю "Єврокар", 32384621, фахiвець з iнновацiйної дiяльностi</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Олег Петрович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голова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"Атолл Холдiнг", 31237888, директор;</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голова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"МТ Консалтiнг", 31167727, голова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w:t>
            </w:r>
            <w:r>
              <w:rPr>
                <w:rFonts w:ascii="Times New Roman CYR" w:hAnsi="Times New Roman CYR" w:cs="Times New Roman CYR"/>
                <w:sz w:val="20"/>
                <w:szCs w:val="20"/>
              </w:rPr>
              <w:t xml:space="preserve">СТВО З ОБМЕЖЕНОЮ ВIДПОВIДАЛЬНIСТЮ </w:t>
            </w:r>
            <w:r>
              <w:rPr>
                <w:rFonts w:ascii="Times New Roman CYR" w:hAnsi="Times New Roman CYR" w:cs="Times New Roman CYR"/>
                <w:sz w:val="20"/>
                <w:szCs w:val="20"/>
              </w:rPr>
              <w:lastRenderedPageBreak/>
              <w:t>"ЄВРОКАР СЕРВIС", 20058711, голова наглядової ради;</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"АВТОТРЕЙДIНГ АТОЛЛ ГРУП", 35755339, директор, голова наглядової ради,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01.10.2023</w:t>
            </w: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30.09.2024 (включно)</w:t>
            </w:r>
          </w:p>
        </w:tc>
        <w:tc>
          <w:tcPr>
            <w:tcW w:w="14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FD1EBD">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https://www.skoda-auto.ua/company/organizational-structure-of-emitent </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https://www.skoda-auto.ua/company/ownership-structure-of-emitent </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Зазначається iнформацiя щодо опису дiяльностi особи, яка, зокрема, повинна включати таку iнформацiю:</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належнiсть особи до будь-яких об'єднань пiдприємств, повне найменування та мiсцезнаходження об'єднання, опис дiяльностi об'єднання, строк участi особи </w:t>
      </w:r>
      <w:r>
        <w:rPr>
          <w:rFonts w:ascii="Times New Roman CYR" w:hAnsi="Times New Roman CYR" w:cs="Times New Roman CYR"/>
          <w:sz w:val="24"/>
          <w:szCs w:val="24"/>
        </w:rPr>
        <w:t>у вiдповiдному об'єднаннi, роль особи в об'єднаннi, посилання на вебсайт об'єднання;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належить до будь-яких об'єднань пiдприємств.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w:t>
      </w:r>
      <w:r>
        <w:rPr>
          <w:rFonts w:ascii="Times New Roman CYR" w:hAnsi="Times New Roman CYR" w:cs="Times New Roman CYR"/>
          <w:sz w:val="24"/>
          <w:szCs w:val="24"/>
        </w:rPr>
        <w:t>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органiзацiями, пiдприємствами, установами.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w:t>
      </w:r>
      <w:r>
        <w:rPr>
          <w:rFonts w:ascii="Times New Roman CYR" w:hAnsi="Times New Roman CYR" w:cs="Times New Roman CYR"/>
          <w:sz w:val="24"/>
          <w:szCs w:val="24"/>
        </w:rPr>
        <w:t>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об'єктiв основних засобiв нараховується по прямолiнiйному методу. Визнання, оцiнка i облi</w:t>
      </w:r>
      <w:r>
        <w:rPr>
          <w:rFonts w:ascii="Times New Roman CYR" w:hAnsi="Times New Roman CYR" w:cs="Times New Roman CYR"/>
          <w:sz w:val="24"/>
          <w:szCs w:val="24"/>
        </w:rPr>
        <w:t>к основних засобiв здiйснюється вiдповiдно до МСБО 16 "Основнi засоби". Визнання, оцiнка i облiк нематерiальних активiв здiйснюється вiдповiдно до МСБО 38 "Нематерiальнi активи". Одиницею облiку визнається окремий об'єкт нематерiальних активiв. Товарно-мат</w:t>
      </w:r>
      <w:r>
        <w:rPr>
          <w:rFonts w:ascii="Times New Roman CYR" w:hAnsi="Times New Roman CYR" w:cs="Times New Roman CYR"/>
          <w:sz w:val="24"/>
          <w:szCs w:val="24"/>
        </w:rPr>
        <w:t>ерiальнi цiнностi визнаються, оцiнюються i враховуються вiдповiдно до МСБО 2 "Запаси". Одиницею запасiв визнається кожне найменування цiнностей. Придбанi запаси зараховуються на баланс по собiвартостi вiдповiдно до МСБО 2 "Запаси", ТЗВ включаються в собiва</w:t>
      </w:r>
      <w:r>
        <w:rPr>
          <w:rFonts w:ascii="Times New Roman CYR" w:hAnsi="Times New Roman CYR" w:cs="Times New Roman CYR"/>
          <w:sz w:val="24"/>
          <w:szCs w:val="24"/>
        </w:rPr>
        <w:t>ртiсть запасiв. Запаси, якi не принесуть економiчних вигод в майбутньому, визнаються нелiквiдними i списуються в бухгалтерському облiку. Фiнансовi iнвестицiї первiсно оцiнюються та вiдображаються у бухгалтерському облiку за собiвартiстю. Собiвартiсть фiнан</w:t>
      </w:r>
      <w:r>
        <w:rPr>
          <w:rFonts w:ascii="Times New Roman CYR" w:hAnsi="Times New Roman CYR" w:cs="Times New Roman CYR"/>
          <w:sz w:val="24"/>
          <w:szCs w:val="24"/>
        </w:rPr>
        <w:t>сової iнвестицiї складається з цiни її придбання, комiсiйних винагород, мита, податкiв, зборiв, обов'язкових платежiв та iнших витрат, безпосередньо пов'язаних з придбанням фiнансової iнвестицiї. Фiнансовi iнвестицiї на дату балансу вiдображаються за справ</w:t>
      </w:r>
      <w:r>
        <w:rPr>
          <w:rFonts w:ascii="Times New Roman CYR" w:hAnsi="Times New Roman CYR" w:cs="Times New Roman CYR"/>
          <w:sz w:val="24"/>
          <w:szCs w:val="24"/>
        </w:rPr>
        <w:t>едливою вартiстю.</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передбачає використання власного капiталу та залучення ко</w:t>
      </w:r>
      <w:r>
        <w:rPr>
          <w:rFonts w:ascii="Times New Roman CYR" w:hAnsi="Times New Roman CYR" w:cs="Times New Roman CYR"/>
          <w:sz w:val="24"/>
          <w:szCs w:val="24"/>
        </w:rPr>
        <w:t>штiв фiнансових установ (банкiв). Робочого капiталу достатньо для поточних потреб. Можливим шляхом покращення лiквiдностi є зниження кредиторської заборгованостi.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w:t>
      </w:r>
      <w:r>
        <w:rPr>
          <w:rFonts w:ascii="Times New Roman CYR" w:hAnsi="Times New Roman CYR" w:cs="Times New Roman CYR"/>
          <w:sz w:val="24"/>
          <w:szCs w:val="24"/>
        </w:rPr>
        <w:t>ний рiк;</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Товариством не здiйснювались.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опис продуктiв (товарiв та/або послуг), якi виробляє/надає особа;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видом продукцiї пiдприємства є автомобiлi марки "Skoda", що призначенi для перевезення пасажирiв i невеликого вантажу.</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та грошовому виразi);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Обсяги виробництва у натуральному виразi: 410 шт. Обсяги виробництва </w:t>
      </w:r>
      <w:r>
        <w:rPr>
          <w:rFonts w:ascii="Times New Roman CYR" w:hAnsi="Times New Roman CYR" w:cs="Times New Roman CYR"/>
          <w:sz w:val="24"/>
          <w:szCs w:val="24"/>
        </w:rPr>
        <w:t>у грошовому виразi:  434033 тис.грн.</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продуктiв;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1147,9 тис. грн.</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виручки;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виручки у звiтному перiодi вiд реалiзацiї виготовлених авто 521137 тис. грн.</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час</w:t>
      </w:r>
      <w:r>
        <w:rPr>
          <w:rFonts w:ascii="Times New Roman CYR" w:hAnsi="Times New Roman CYR" w:cs="Times New Roman CYR"/>
          <w:sz w:val="24"/>
          <w:szCs w:val="24"/>
        </w:rPr>
        <w:t>тка експорту в загальному обсязi продажiв;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залежнiсть вiд сезонних змiн;</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(бiльше 5 % у загальнiй сумi виручки);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клiєнтом є ТОВ "Єврокар".</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ринки збуту та країни, в яких особою здiйснюється дiяльнiсть;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Ринком збуту є внутрiшнiй ринок України.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канали збуту;</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Продукцiя пiдприємства реалiзується через ТОВ "Єврокар", який здiйснює роздрiбну торгiвлю новими автомобiлями марки Skoda через мережу д</w:t>
      </w:r>
      <w:r>
        <w:rPr>
          <w:rFonts w:ascii="Times New Roman CYR" w:hAnsi="Times New Roman CYR" w:cs="Times New Roman CYR"/>
          <w:sz w:val="24"/>
          <w:szCs w:val="24"/>
        </w:rPr>
        <w:t>илерських пiдприємств на територiї України та органiзовує їх сервiсне обслуговуваня.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 та види товарiв та/або послуг, якi вони постачають/надають особi, країни з яких здiйснюється постачання/надання товарiв/послуг;</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комплектуюч</w:t>
      </w:r>
      <w:r>
        <w:rPr>
          <w:rFonts w:ascii="Times New Roman CYR" w:hAnsi="Times New Roman CYR" w:cs="Times New Roman CYR"/>
          <w:sz w:val="24"/>
          <w:szCs w:val="24"/>
        </w:rPr>
        <w:t>i, матерiали, сировина для виробництва автомобiлiв закуповуються у SkodaAuto a.s.</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особливостi стану розвитку галузi, в якiй здiйснює дiяльнiсть особа;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Автомобiльна галузь є надзвичайно складним технологiчно виробничим процесом. Свiтова еко-номiчна криза </w:t>
      </w:r>
      <w:r>
        <w:rPr>
          <w:rFonts w:ascii="Times New Roman CYR" w:hAnsi="Times New Roman CYR" w:cs="Times New Roman CYR"/>
          <w:sz w:val="24"/>
          <w:szCs w:val="24"/>
        </w:rPr>
        <w:t xml:space="preserve">призвела до рiзкого падiння автомобiльного ринку України, яке матерiалiзувалося в значному зменшеннi показникiв виробництва, через що українськi виробники були вимушенi зна-чно скоротити </w:t>
      </w:r>
      <w:r>
        <w:rPr>
          <w:rFonts w:ascii="Times New Roman CYR" w:hAnsi="Times New Roman CYR" w:cs="Times New Roman CYR"/>
          <w:sz w:val="24"/>
          <w:szCs w:val="24"/>
        </w:rPr>
        <w:lastRenderedPageBreak/>
        <w:t>чисельнiсть працiвникiв.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технологiй, якi використовує особа у с</w:t>
      </w:r>
      <w:r>
        <w:rPr>
          <w:rFonts w:ascii="Times New Roman CYR" w:hAnsi="Times New Roman CYR" w:cs="Times New Roman CYR"/>
          <w:sz w:val="24"/>
          <w:szCs w:val="24"/>
        </w:rPr>
        <w:t>воїй дiяльностi;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Технологiчне обладнання на пiдприємствi дозволяє забезпечити повний технологiчний процес CKD виробництва автомобiлiв (зварювання кузовiв, фарбування, збирання), вiдповiдає українським та європейським нормам, забезпечує високу ступiнь екол</w:t>
      </w:r>
      <w:r>
        <w:rPr>
          <w:rFonts w:ascii="Times New Roman CYR" w:hAnsi="Times New Roman CYR" w:cs="Times New Roman CYR"/>
          <w:sz w:val="24"/>
          <w:szCs w:val="24"/>
        </w:rPr>
        <w:t>огiчної чистоти процесiв та економiю енергоресурсiв.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Товариство використовує технологiю крупновузлового виробництва автомобiлiв SKD, на наявному технологiчному обладнаннi.</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 особи на ринку, на якому вона здiйснює дiяльнiсть;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Становище товарис</w:t>
      </w:r>
      <w:r>
        <w:rPr>
          <w:rFonts w:ascii="Times New Roman CYR" w:hAnsi="Times New Roman CYR" w:cs="Times New Roman CYR"/>
          <w:sz w:val="24"/>
          <w:szCs w:val="24"/>
        </w:rPr>
        <w:t>тва на ринку стабiльне.</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конкуренцiя в галузi, основнi конкуренти особи;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вiдрiзняється високою конкуренцiєю i представлена практично всiма свiтовими марками. У класi В кон</w:t>
      </w:r>
      <w:r>
        <w:rPr>
          <w:rFonts w:ascii="Times New Roman CYR" w:hAnsi="Times New Roman CYR" w:cs="Times New Roman CYR"/>
          <w:sz w:val="24"/>
          <w:szCs w:val="24"/>
        </w:rPr>
        <w:t>курентами моделi Skoda Fabia є автомобiлi марок Chevrolet Aveo, Renault Logan, Hyundai Accent, Hyundai Gets. У класi C конкурентами моделi Skoda Octavia є ав-томобiлi марок Toyota Corolla, Hyundai Elantra. У класi E конкурентами моделi Skoda Superb є автом</w:t>
      </w:r>
      <w:r>
        <w:rPr>
          <w:rFonts w:ascii="Times New Roman CYR" w:hAnsi="Times New Roman CYR" w:cs="Times New Roman CYR"/>
          <w:sz w:val="24"/>
          <w:szCs w:val="24"/>
        </w:rPr>
        <w:t>обiлi марок Toyota Camry, Hyundai Sonata, VW Passat. У класi SUV конкурентами моделi Skoda Karoq є автомобiлi марок Nissan Qashqai, Toyota RAV4, VW Tiguan, Skoda Kodiaq - Nissan X-Trail.</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 плани розвитку особи.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Перспективнiсть виробництва авто</w:t>
      </w:r>
      <w:r>
        <w:rPr>
          <w:rFonts w:ascii="Times New Roman CYR" w:hAnsi="Times New Roman CYR" w:cs="Times New Roman CYR"/>
          <w:sz w:val="24"/>
          <w:szCs w:val="24"/>
        </w:rPr>
        <w:t xml:space="preserve">мобiлiв марки "Skoda", що призначенi для перевезення пасажирiв i невеликого вантажу оцiнюється як висока, зокрема для вiтчизняного ринку споживачiв.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опис ризикiв, як притаманнi дiяльностi особи, пiдходи до управлiння ризиками, заходи особи щодо зменше</w:t>
      </w:r>
      <w:r>
        <w:rPr>
          <w:rFonts w:ascii="Times New Roman CYR" w:hAnsi="Times New Roman CYR" w:cs="Times New Roman CYR"/>
          <w:sz w:val="24"/>
          <w:szCs w:val="24"/>
        </w:rPr>
        <w:t>ння впливу ризикiв;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ризиками в дiяльностi Товариства є полiтична та економiчна нестабiльнiсть; змiни законодавства та оподаткування; iнфляцiйнi процеси в економiцi України, державна митна полiтика. Ризики експлуатацiйного перiоду (збiльшення вит</w:t>
      </w:r>
      <w:r>
        <w:rPr>
          <w:rFonts w:ascii="Times New Roman CYR" w:hAnsi="Times New Roman CYR" w:cs="Times New Roman CYR"/>
          <w:sz w:val="24"/>
          <w:szCs w:val="24"/>
        </w:rPr>
        <w:t xml:space="preserve">рат на функцiонування об'єкту, неплатоспроможнiсть партнерiв, криза збуту продукцiї та iн.).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внутрiшнього контролю використовуються рiзнi методи, вони включають в себе такi елементи, як: Управлiння фiнансовими  ризиками: дiяльнiсть товарис</w:t>
      </w:r>
      <w:r>
        <w:rPr>
          <w:rFonts w:ascii="Times New Roman CYR" w:hAnsi="Times New Roman CYR" w:cs="Times New Roman CYR"/>
          <w:sz w:val="24"/>
          <w:szCs w:val="24"/>
        </w:rPr>
        <w:t xml:space="preserve">тва пiддається впливу безлiчi фiнансових ризикiв, включаючи ефект вiд змiни ринкових цiн, коливань валютних курсiв.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веде полiтику, спрямовану на попередження й зменшення впливу таких ризикiв. Управлiння ризиками здiйснюється адмiн</w:t>
      </w:r>
      <w:r>
        <w:rPr>
          <w:rFonts w:ascii="Times New Roman CYR" w:hAnsi="Times New Roman CYR" w:cs="Times New Roman CYR"/>
          <w:sz w:val="24"/>
          <w:szCs w:val="24"/>
        </w:rPr>
        <w:t>iстрацiєю товариства.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Управлiння кредитними ризиками: фiнансовi iнструменти, якi потенцiйно пiддаються впливу кредитного ризику, в основному представленi торговою дебiторською заборгованiстю та грошовими коштами та еквiвалентами. Управлiння ризиком лiквiд</w:t>
      </w:r>
      <w:r>
        <w:rPr>
          <w:rFonts w:ascii="Times New Roman CYR" w:hAnsi="Times New Roman CYR" w:cs="Times New Roman CYR"/>
          <w:sz w:val="24"/>
          <w:szCs w:val="24"/>
        </w:rPr>
        <w:t xml:space="preserve">ностi: для управлiння ризиком лiквiдностi керiвництво товариства проводить полiтику управлiння активами й зобов'язаннями, спрямовану на недопущення розривiв у строках платежiв, що виражається в здатностi мобiлiзацiї лiквiдних активiв для погашення </w:t>
      </w:r>
      <w:r>
        <w:rPr>
          <w:rFonts w:ascii="Times New Roman CYR" w:hAnsi="Times New Roman CYR" w:cs="Times New Roman CYR"/>
          <w:sz w:val="24"/>
          <w:szCs w:val="24"/>
        </w:rPr>
        <w:lastRenderedPageBreak/>
        <w:t>поточних</w:t>
      </w:r>
      <w:r>
        <w:rPr>
          <w:rFonts w:ascii="Times New Roman CYR" w:hAnsi="Times New Roman CYR" w:cs="Times New Roman CYR"/>
          <w:sz w:val="24"/>
          <w:szCs w:val="24"/>
        </w:rPr>
        <w:t xml:space="preserve"> зобов'язань.Управлiння ризиками має на метi забезпечення належного функцiонування внутрiшнiх процедур та полiтики, що спрямованi на мiнiмiзацiю цих ризикiв.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стратегiя подальшої дiяльностi особи щонайменше на рiк (щодо розширення виробництва, реконстр</w:t>
      </w:r>
      <w:r>
        <w:rPr>
          <w:rFonts w:ascii="Times New Roman CYR" w:hAnsi="Times New Roman CYR" w:cs="Times New Roman CYR"/>
          <w:sz w:val="24"/>
          <w:szCs w:val="24"/>
        </w:rPr>
        <w:t>укцiї, полiпшення фiнансового стану, опис iстотних факторiв, якi можуть вплинути на дiяльнiсть особи в майбутньому);</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планує продовжити випуск автомобiлiв марки Skoda моделi Karoq та планує iмпорт нових моделей.</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основнi придбання або вiдчуже</w:t>
      </w:r>
      <w:r>
        <w:rPr>
          <w:rFonts w:ascii="Times New Roman CYR" w:hAnsi="Times New Roman CYR" w:cs="Times New Roman CYR"/>
          <w:sz w:val="24"/>
          <w:szCs w:val="24"/>
        </w:rPr>
        <w:t>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перiод 2019-2 кв. 2024рр. Това</w:t>
      </w:r>
      <w:r>
        <w:rPr>
          <w:rFonts w:ascii="Times New Roman CYR" w:hAnsi="Times New Roman CYR" w:cs="Times New Roman CYR"/>
          <w:sz w:val="24"/>
          <w:szCs w:val="24"/>
        </w:rPr>
        <w:t>риством було придбано активiв на загальну суму 456135,9 тис.грн. За звiтний перiод (2 кв. 2024 року) було придбано активiв на 7717,3 тис. грн. Пiдприємство не планує будь-якi значнi iнвестицiї або придбання, пов'язанi з його господарською дiяльнiстю.</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w:t>
      </w:r>
      <w:r>
        <w:rPr>
          <w:rFonts w:ascii="Times New Roman CYR" w:hAnsi="Times New Roman CYR" w:cs="Times New Roman CYR"/>
          <w:sz w:val="24"/>
          <w:szCs w:val="24"/>
        </w:rPr>
        <w:t>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w:t>
      </w:r>
      <w:r>
        <w:rPr>
          <w:rFonts w:ascii="Times New Roman CYR" w:hAnsi="Times New Roman CYR" w:cs="Times New Roman CYR"/>
          <w:sz w:val="24"/>
          <w:szCs w:val="24"/>
        </w:rPr>
        <w:t>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w:t>
      </w:r>
      <w:r>
        <w:rPr>
          <w:rFonts w:ascii="Times New Roman CYR" w:hAnsi="Times New Roman CYR" w:cs="Times New Roman CYR"/>
          <w:sz w:val="24"/>
          <w:szCs w:val="24"/>
        </w:rPr>
        <w:t>очатку та закiнчення дiяльностi та очiкуване зростання виробничих потужностей пiсля її завершення;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емiтента знаходяться за адресою Закарпатська область, Ужгородський район, с. Соломоново, вул. Перемоги, 46. До основних засобiв емiтента вiдноситься: - земельнi дiлянки; - виробничий цех; - промислова iнфраструктура (логiстична та iнженерна)</w:t>
      </w:r>
      <w:r>
        <w:rPr>
          <w:rFonts w:ascii="Times New Roman CYR" w:hAnsi="Times New Roman CYR" w:cs="Times New Roman CYR"/>
          <w:sz w:val="24"/>
          <w:szCs w:val="24"/>
        </w:rPr>
        <w:t>; - машини та обладнання; - транспортнi засоби; - iнша необоротнi та нематерiальнi активи. Також ПрАТ "Єврокар" орендує у ТОВ "РIК" виробничий комплекс, що складається з: - монтажний цех та АБК; - промислова iнфраструктура (складська, логiстична та iнженер</w:t>
      </w:r>
      <w:r>
        <w:rPr>
          <w:rFonts w:ascii="Times New Roman CYR" w:hAnsi="Times New Roman CYR" w:cs="Times New Roman CYR"/>
          <w:sz w:val="24"/>
          <w:szCs w:val="24"/>
        </w:rPr>
        <w:t>на); - обладнання; у ТОВ "Євромотор" - транс-форматорну пiдстанцiю. ПрАТ "Єврокар" суворо дотримується екологiчних стандартiв. Техно-логiчне обладнання вiдповiдає українським та європейським нормам, забезпечує високу ступiнь екологiчної чистоти процесiв та</w:t>
      </w:r>
      <w:r>
        <w:rPr>
          <w:rFonts w:ascii="Times New Roman CYR" w:hAnsi="Times New Roman CYR" w:cs="Times New Roman CYR"/>
          <w:sz w:val="24"/>
          <w:szCs w:val="24"/>
        </w:rPr>
        <w:t xml:space="preserve"> економiю енергоресурсiв. Отриманi лiмiти на утворення та зберiгання вiдходiв виробництва, отримано дозвiл на викиди забруднюючих речовин в атмосферне повiтря, отримано спецiальний дозвiл на водокористування. Порушень законодавства у сферi охорони навколиш</w:t>
      </w:r>
      <w:r>
        <w:rPr>
          <w:rFonts w:ascii="Times New Roman CYR" w:hAnsi="Times New Roman CYR" w:cs="Times New Roman CYR"/>
          <w:sz w:val="24"/>
          <w:szCs w:val="24"/>
        </w:rPr>
        <w:t>нього природного середовища перевiрками не виявлено. Розробленi та впрова-джуються заходи по охоронi навколишнього природного середовища. Максимальнi виробничi потужностi заводу з врахуванням модернiзацiї становлять 50000 тис. авто/рiк. На даний момент вир</w:t>
      </w:r>
      <w:r>
        <w:rPr>
          <w:rFonts w:ascii="Times New Roman CYR" w:hAnsi="Times New Roman CYR" w:cs="Times New Roman CYR"/>
          <w:sz w:val="24"/>
          <w:szCs w:val="24"/>
        </w:rPr>
        <w:t>обничi потужностi повнiстю не завантаженi (в т.ч. через кризу), та на кiнець звiтного перiоду використання виробничих потужностей становило 3,28 %. Капiтальне будiвництво не планується. Удосконалення виробничих засобiв не плануються у зв'язку з вiдсутнiстю</w:t>
      </w:r>
      <w:r>
        <w:rPr>
          <w:rFonts w:ascii="Times New Roman CYR" w:hAnsi="Times New Roman CYR" w:cs="Times New Roman CYR"/>
          <w:sz w:val="24"/>
          <w:szCs w:val="24"/>
        </w:rPr>
        <w:t xml:space="preserve"> повної завантаженостi виробничих потужностей.</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проблеми, якi впливають на дiяльнiсть особи, в тому числi ступiнь залежностi вiд законодавчих або економiчних обмежень;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Ризики, пов'язанi зi змiною полiтичної та економiчної ситуацiї в Українi, ризики ек</w:t>
      </w:r>
      <w:r>
        <w:rPr>
          <w:rFonts w:ascii="Times New Roman CYR" w:hAnsi="Times New Roman CYR" w:cs="Times New Roman CYR"/>
          <w:sz w:val="24"/>
          <w:szCs w:val="24"/>
        </w:rPr>
        <w:t>сплуатацiйного перiоду (збiльшення цiн на енергоносiї, неплатоспроможнiсть партнерiв, криза збуту продукцiї та iн.). Ступiнь залежностi вiд законодавчих або економiчних обмежень - суттєва.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вартiсть укладених, але ще не виконаних договорiв (контрактiв)</w:t>
      </w:r>
      <w:r>
        <w:rPr>
          <w:rFonts w:ascii="Times New Roman CYR" w:hAnsi="Times New Roman CYR" w:cs="Times New Roman CYR"/>
          <w:sz w:val="24"/>
          <w:szCs w:val="24"/>
        </w:rPr>
        <w:t xml:space="preserve"> на кiнець звiтного перiоду (загальний пiдсумок) та очiкуванi прибутки вiд виконання цих договорiв (контрактiв);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  455637,0 тис. грн.</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середньооблiкова чисельнiсть штатних працiвникiв осо</w:t>
      </w:r>
      <w:r>
        <w:rPr>
          <w:rFonts w:ascii="Times New Roman CYR" w:hAnsi="Times New Roman CYR" w:cs="Times New Roman CYR"/>
          <w:sz w:val="24"/>
          <w:szCs w:val="24"/>
        </w:rPr>
        <w:t>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w:t>
      </w:r>
      <w:r>
        <w:rPr>
          <w:rFonts w:ascii="Times New Roman CYR" w:hAnsi="Times New Roman CYR" w:cs="Times New Roman CYR"/>
          <w:sz w:val="24"/>
          <w:szCs w:val="24"/>
        </w:rPr>
        <w:t>лати працi, його збiльшення або зменшення вiдносно попереднього звiтного перiоду;</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- 233;</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чисельнiсть позаштатних працiвникiв - 0,</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осiб, якi працюють за сумiсництвом - 30,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чисельнiсть працiвникi</w:t>
      </w:r>
      <w:r>
        <w:rPr>
          <w:rFonts w:ascii="Times New Roman CYR" w:hAnsi="Times New Roman CYR" w:cs="Times New Roman CYR"/>
          <w:sz w:val="24"/>
          <w:szCs w:val="24"/>
        </w:rPr>
        <w:t xml:space="preserve">в, якi працюють на умовах неповного робочого часу (дня, тижня) - 41,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фонду оплати працi 21685069.94 грн.,</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 змiни розмiру фонду оплати працi, його збiльшення або зменшення вiдносно попереднього звiтного перiоду: у порiвняннi з попереднiм звiт</w:t>
      </w:r>
      <w:r>
        <w:rPr>
          <w:rFonts w:ascii="Times New Roman CYR" w:hAnsi="Times New Roman CYR" w:cs="Times New Roman CYR"/>
          <w:sz w:val="24"/>
          <w:szCs w:val="24"/>
        </w:rPr>
        <w:t>ним перiодом фонд оплати працi збiльшився.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та результати цих пропозицiй;</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 боку третiх осiб не було.</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iнша iнформацiя, яка може бути iстотною для оцiнки стейкхолдерами фiнансового стану та результатiв дiяльностi особи.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iншою iнформацiєю, яка може бути iстотною для оцiнки фiнансового стану та результатiв дiяльностi Товариства, стейкхолдери можуть озн</w:t>
      </w:r>
      <w:r>
        <w:rPr>
          <w:rFonts w:ascii="Times New Roman CYR" w:hAnsi="Times New Roman CYR" w:cs="Times New Roman CYR"/>
          <w:sz w:val="24"/>
          <w:szCs w:val="24"/>
        </w:rPr>
        <w:t xml:space="preserve">айомитись на сайтi Товариства за посиланням https://www.skoda-auto.ua/company/prat-eurocar-info-for-shareholders.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Дотримання послiдовностi викладення iнформацiї частин є обов'язковою. У разi вiдсутностi iнформацiї, особа зазначає про це в описi господарс</w:t>
      </w:r>
      <w:r>
        <w:rPr>
          <w:rFonts w:ascii="Times New Roman CYR" w:hAnsi="Times New Roman CYR" w:cs="Times New Roman CYR"/>
          <w:sz w:val="24"/>
          <w:szCs w:val="24"/>
        </w:rPr>
        <w:t>ької та фiнансової дiяльностi. Опис господарської та фiнансової дiяльностi викладається стисло i зрозумiло. Обсяг опису господарської та фiнансової дiяльностi не повинен перевищувати чотирнадцять сторiнок формату А4.</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w:t>
      </w:r>
      <w:r>
        <w:rPr>
          <w:rFonts w:ascii="Times New Roman CYR" w:hAnsi="Times New Roman CYR" w:cs="Times New Roman CYR"/>
          <w:b/>
          <w:bCs/>
          <w:sz w:val="24"/>
          <w:szCs w:val="24"/>
        </w:rPr>
        <w:t>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70"/>
        <w:gridCol w:w="2685"/>
        <w:gridCol w:w="1500"/>
        <w:gridCol w:w="1065"/>
        <w:gridCol w:w="3000"/>
        <w:gridCol w:w="1200"/>
      </w:tblGrid>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w:t>
            </w:r>
          </w:p>
        </w:tc>
        <w:tc>
          <w:tcPr>
            <w:tcW w:w="2685"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Мiнiстерство охорони здоров'я України</w:t>
            </w:r>
          </w:p>
        </w:tc>
        <w:tc>
          <w:tcPr>
            <w:tcW w:w="12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685"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Лiцензiя на право зберiгання пального</w:t>
            </w:r>
          </w:p>
        </w:tc>
        <w:tc>
          <w:tcPr>
            <w:tcW w:w="15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07140414201900029</w:t>
            </w:r>
          </w:p>
        </w:tc>
        <w:tc>
          <w:tcPr>
            <w:tcW w:w="1065"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29.07.2019</w:t>
            </w:r>
          </w:p>
        </w:tc>
        <w:tc>
          <w:tcPr>
            <w:tcW w:w="3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Головне управлiння ДФС у Закарпатськiй областi</w:t>
            </w:r>
          </w:p>
        </w:tc>
        <w:tc>
          <w:tcPr>
            <w:tcW w:w="12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29.07.2024</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152 772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138 717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152 772</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138 717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123 888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108 892</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123 888</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108 892</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5 949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6 620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5 949</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6 620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6 737</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6 458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6 737</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6 458</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16 109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16 611</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16 109</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16 611</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152 772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138 717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152 772</w:t>
            </w:r>
          </w:p>
        </w:tc>
        <w:tc>
          <w:tcPr>
            <w:tcW w:w="1082"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138 717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Основнi засоби використовуються в господарськiй дiяльностi.</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Термiни використання основних засобiв: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2 - капiтальнi витрати на полiпшення земель, не пов'язанi з будiвництвом - 180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3 - в т.ч.:</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Будiвлi - 240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Споруди - 180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Передавальнi пристрої - 120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4- в т.ч.:</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Машини та обладнання - 60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Електронно-обчислювальнi машини, iншi: - 24 мiсяцi.</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Група 5 - транспортнi засоби - 60 </w:t>
            </w:r>
            <w:r>
              <w:rPr>
                <w:rFonts w:ascii="Times New Roman CYR" w:hAnsi="Times New Roman CYR" w:cs="Times New Roman CYR"/>
              </w:rPr>
              <w:t>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6 - iнструменти, прилади, iнвентар (меблi) - 48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7 - тварини - 72 мiсяцi.</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8 - багаторiчнi насадження - 120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Група 9 - iншi основнi засоби - 144 мiсяцi.</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10 - бiблiотечнi фонди.</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w:t>
            </w:r>
            <w:r>
              <w:rPr>
                <w:rFonts w:ascii="Times New Roman CYR" w:hAnsi="Times New Roman CYR" w:cs="Times New Roman CYR"/>
              </w:rPr>
              <w:t>па 11- малоцiннi необоротнi активи.</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12 - тимчасовi (нетитульнi) споруди - 60 мiсяцiв.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14 - iнвентарна тара - 72 мiсяцi.</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15 - предмети прокату - 72 мiсяцi.</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16 - довгостроковi бiологiчнi активи - 84 мiсяцi.</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w:t>
            </w:r>
            <w:r>
              <w:rPr>
                <w:rFonts w:ascii="Times New Roman CYR" w:hAnsi="Times New Roman CYR" w:cs="Times New Roman CYR"/>
              </w:rPr>
              <w:t>вних засобiв - 1626555 тис. грн.</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- 91,47 %</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- 100%.</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- 1487838 тис.грн.</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заставi перебувають основнi засоби (виробниче обладнання)  застав-ною вартiстю - 1 075 тис. грн., нерухоме майне за</w:t>
            </w:r>
            <w:r>
              <w:rPr>
                <w:rFonts w:ascii="Times New Roman CYR" w:hAnsi="Times New Roman CYR" w:cs="Times New Roman CYR"/>
              </w:rPr>
              <w:t xml:space="preserve">ставною вартiстю - 17 247 тис. грн. </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 було.</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1 781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863</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Земельний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Акцизний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658</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Екологiчний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 вiдмiнне вiд земельної дiлянки</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iноземних юридичних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1 881 763</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w:t>
            </w:r>
            <w:r>
              <w:rPr>
                <w:rFonts w:ascii="Times New Roman CYR" w:hAnsi="Times New Roman CYR" w:cs="Times New Roman CYR"/>
              </w:rPr>
              <w:t xml:space="preserve">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78 832</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31 549</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986</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3 458</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2 427</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4 242</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майбутнiх перiодiв</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167 836</w:t>
            </w:r>
          </w:p>
        </w:tc>
        <w:tc>
          <w:tcPr>
            <w:tcW w:w="194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1 883 544</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Автомобiлi Skoda</w:t>
            </w:r>
          </w:p>
        </w:tc>
        <w:tc>
          <w:tcPr>
            <w:tcW w:w="2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 штук</w:t>
            </w:r>
          </w:p>
        </w:tc>
        <w:tc>
          <w:tcPr>
            <w:tcW w:w="2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434033</w:t>
            </w:r>
          </w:p>
        </w:tc>
        <w:tc>
          <w:tcPr>
            <w:tcW w:w="2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454 штуки</w:t>
            </w:r>
          </w:p>
        </w:tc>
        <w:tc>
          <w:tcPr>
            <w:tcW w:w="2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521137</w:t>
            </w:r>
          </w:p>
        </w:tc>
        <w:tc>
          <w:tcPr>
            <w:tcW w:w="22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комплектуючi</w:t>
            </w:r>
          </w:p>
        </w:tc>
        <w:tc>
          <w:tcPr>
            <w:tcW w:w="59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систем</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w:t>
            </w:r>
            <w:r>
              <w:rPr>
                <w:rFonts w:ascii="Times New Roman CYR" w:hAnsi="Times New Roman CYR" w:cs="Times New Roman CYR"/>
              </w:rPr>
              <w:t>з лiцензiї. Обслуговує випуск цiнних паперiв Товариства</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економiчної дiяльностi</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Iнформацiйнi послуги на фондовому ринку з оприлюднення регульованої iнформацiї; Iнфо</w:t>
            </w:r>
            <w:r>
              <w:rPr>
                <w:rFonts w:ascii="Times New Roman CYR" w:hAnsi="Times New Roman CYR" w:cs="Times New Roman CYR"/>
              </w:rPr>
              <w:t>рмацiйнi послуги з подання звiтностi та/або звiтних даних до НКЦПФР</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"АУДИТ-IНВЕСТ"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32241880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49101, Україна, м. Днiпро, вулиця Короленка, будинок 15, iнше примiщення 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0634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27.10.2016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(056) 745-14-05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w:t>
            </w:r>
            <w:r>
              <w:rPr>
                <w:rFonts w:ascii="Times New Roman CYR" w:hAnsi="Times New Roman CYR" w:cs="Times New Roman CYR"/>
              </w:rPr>
              <w:t>.20 - Дiяльнiсть у сферi бухгалтерського облiку й аудиту; консультування з питань оподаткування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77.33 - Надання в оренду офiсних машин i устатковання, у тому числi комп'ютерiв</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85.59 - Iншi види освiти, н.в.i.у.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 фiнансової звiтностi</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"УКРАЇНСЬКА СТРАХОВА ГРУПА"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30859524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03038, Україна, м. Київ, вулиця Федорова Iвана, будинок 32 ЛIТ.А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237 02 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66.21 - Оцiнювання ри</w:t>
            </w:r>
            <w:r>
              <w:rPr>
                <w:rFonts w:ascii="Times New Roman CYR" w:hAnsi="Times New Roman CYR" w:cs="Times New Roman CYR"/>
              </w:rPr>
              <w:t>зикiв та завданої шкоди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"СТРАХОВА КОМПАНIЯ "IНГО"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16285602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01054, Україна, м. Київ, ВУЛИЦЯ БУЛЬВАРНО-КУДРЯВСЬКА, будинок 33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4902744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r>
              <w:rPr>
                <w:rFonts w:ascii="Times New Roman CYR" w:hAnsi="Times New Roman CYR" w:cs="Times New Roman CYR"/>
              </w:rPr>
              <w:t xml:space="preserve"> - Iншi види страхування, крiм страхування життя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 Iнша допомiжна дiяльнiсть у сферi страхування та пенсiйного 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"УКРАЇНСЬКА ПОЖЕЖНО-СТРАХОВА КОМПАНIЯ"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20602681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04080, Україна, м. Київ, ВУЛИЦЯ КИРИЛIВСЬКА, будинок 40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4636421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68.20 - Надання в оренду й експлуатацiю власного чи орендованого нерухомого майна</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w:t>
            </w:r>
            <w:r>
              <w:rPr>
                <w:rFonts w:ascii="Times New Roman CYR" w:hAnsi="Times New Roman CYR" w:cs="Times New Roman CYR"/>
              </w:rPr>
              <w:t xml:space="preserve"> Iнша допомiжна дiяльнiсть у сферi страхування та пенсiйного 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"УНIВЕРСАЛЬНА"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20113829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Україна, м. Київ, БУЛЬВАР ЛЕСI УКРАЇНКИ, будинок 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w:t>
            </w:r>
            <w:r>
              <w:rPr>
                <w:rFonts w:ascii="Times New Roman CYR" w:hAnsi="Times New Roman CYR" w:cs="Times New Roman CYR"/>
              </w:rPr>
              <w:t>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0 800 500 381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000"/>
        <w:gridCol w:w="3000"/>
        <w:gridCol w:w="2300"/>
        <w:gridCol w:w="1200"/>
        <w:gridCol w:w="1200"/>
        <w:gridCol w:w="1200"/>
        <w:gridCol w:w="30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юридичної особи,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Місцезнаходження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участі особи (у відсотках)</w:t>
            </w:r>
          </w:p>
        </w:tc>
        <w:tc>
          <w:tcPr>
            <w:tcW w:w="3000" w:type="dxa"/>
            <w:vMerge w:val="restart"/>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Активи, які було пере</w:t>
            </w:r>
            <w:r>
              <w:rPr>
                <w:rFonts w:ascii="Times New Roman CYR" w:hAnsi="Times New Roman CYR" w:cs="Times New Roman CYR"/>
              </w:rPr>
              <w:t>дано особі</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"РIК"</w:t>
            </w:r>
          </w:p>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89460, Закарпатська область, Ужгородський район, с. Соломоново, вул. Перемоги, 46</w:t>
            </w:r>
          </w:p>
        </w:tc>
        <w:tc>
          <w:tcPr>
            <w:tcW w:w="23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32784477</w:t>
            </w:r>
          </w:p>
        </w:tc>
        <w:tc>
          <w:tcPr>
            <w:tcW w:w="1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1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30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135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4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16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4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7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перiодi фактiв допуску/скасування допуску цiнних паперiв до торгiв на регульованому фондовому ринку не було. Протягом звiтного перiоду Товариство не здiйснюв</w:t>
            </w:r>
            <w:r>
              <w:rPr>
                <w:rFonts w:ascii="Times New Roman CYR" w:hAnsi="Times New Roman CYR" w:cs="Times New Roman CYR"/>
              </w:rPr>
              <w:t>ало випускiв акцiй та iнших видiв цiнних паперiв</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2011-ому роцi було змiнено номiнальну вартiсть акцiй на 290,2 грн. Мета випуску акцiй: для оновлення основних фондiв, змiцнення матерiально-технiчної бази та поповнення обiгових коштiв для забезпечення ст</w:t>
            </w:r>
            <w:r>
              <w:rPr>
                <w:rFonts w:ascii="Times New Roman CYR" w:hAnsi="Times New Roman CYR" w:cs="Times New Roman CYR"/>
              </w:rPr>
              <w:t>атутної дiяльностi Товариства. Спосiб розмiщення - закрите (приватне). Додаткової емiсiї в звiтному перiодi не було.</w:t>
            </w: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w:t>
      </w:r>
      <w:r>
        <w:rPr>
          <w:rFonts w:ascii="Times New Roman CYR" w:hAnsi="Times New Roman CYR" w:cs="Times New Roman CYR"/>
          <w:b/>
          <w:bCs/>
          <w:sz w:val="24"/>
          <w:szCs w:val="24"/>
        </w:rPr>
        <w:t>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Дата </w:t>
            </w:r>
            <w:r>
              <w:rPr>
                <w:rFonts w:ascii="Times New Roman CYR" w:hAnsi="Times New Roman CYR" w:cs="Times New Roman CYR"/>
              </w:rPr>
              <w:lastRenderedPageBreak/>
              <w:t>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Номер свідоцтва </w:t>
            </w:r>
            <w:r>
              <w:rPr>
                <w:rFonts w:ascii="Times New Roman CYR" w:hAnsi="Times New Roman CYR" w:cs="Times New Roman CYR"/>
              </w:rPr>
              <w:lastRenderedPageBreak/>
              <w:t>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Міжнародний </w:t>
            </w:r>
            <w:r>
              <w:rPr>
                <w:rFonts w:ascii="Times New Roman CYR" w:hAnsi="Times New Roman CYR" w:cs="Times New Roman CYR"/>
              </w:rPr>
              <w:lastRenderedPageBreak/>
              <w:t>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Кількість акцій у </w:t>
            </w:r>
            <w:r>
              <w:rPr>
                <w:rFonts w:ascii="Times New Roman CYR" w:hAnsi="Times New Roman CYR" w:cs="Times New Roman CYR"/>
              </w:rPr>
              <w:lastRenderedPageBreak/>
              <w:t>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Загальна </w:t>
            </w:r>
            <w:r>
              <w:rPr>
                <w:rFonts w:ascii="Times New Roman CYR" w:hAnsi="Times New Roman CYR" w:cs="Times New Roman CYR"/>
              </w:rPr>
              <w:lastRenderedPageBreak/>
              <w:t>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Загальна </w:t>
            </w:r>
            <w:r>
              <w:rPr>
                <w:rFonts w:ascii="Times New Roman CYR" w:hAnsi="Times New Roman CYR" w:cs="Times New Roman CYR"/>
              </w:rPr>
              <w:lastRenderedPageBreak/>
              <w:t>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Кількість </w:t>
            </w:r>
            <w:r>
              <w:rPr>
                <w:rFonts w:ascii="Times New Roman CYR" w:hAnsi="Times New Roman CYR" w:cs="Times New Roman CYR"/>
              </w:rPr>
              <w:lastRenderedPageBreak/>
              <w:t>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 xml:space="preserve">Кількість голосуючих </w:t>
            </w:r>
            <w:r>
              <w:rPr>
                <w:rFonts w:ascii="Times New Roman CYR" w:hAnsi="Times New Roman CYR" w:cs="Times New Roman CYR"/>
              </w:rPr>
              <w:lastRenderedPageBreak/>
              <w:t>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2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20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21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5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5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обмеження вiдсутнi</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3477C3"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Промiжна фiнансова звiтнiсть на основi таксономiї у машинозчитувальному форматi розмiщена за адресою: </w:t>
      </w:r>
      <w:hyperlink r:id="rId7" w:history="1">
        <w:r w:rsidR="003477C3" w:rsidRPr="000664D3">
          <w:rPr>
            <w:rStyle w:val="a4"/>
            <w:rFonts w:ascii="Times New Roman CYR" w:hAnsi="Times New Roman CYR" w:cs="Times New Roman CYR"/>
            <w:sz w:val="24"/>
            <w:szCs w:val="24"/>
          </w:rPr>
          <w:t>https://www.skoda-auto.ua/company/interim_statements24</w:t>
        </w:r>
      </w:hyperlink>
      <w:r>
        <w:rPr>
          <w:rFonts w:ascii="Times New Roman CYR" w:hAnsi="Times New Roman CYR" w:cs="Times New Roman CYR"/>
          <w:sz w:val="24"/>
          <w:szCs w:val="24"/>
        </w:rPr>
        <w:t xml:space="preserve"> </w:t>
      </w:r>
    </w:p>
    <w:p w:rsidR="003477C3" w:rsidRDefault="003477C3">
      <w:pPr>
        <w:widowControl w:val="0"/>
        <w:autoSpaceDE w:val="0"/>
        <w:autoSpaceDN w:val="0"/>
        <w:adjustRightInd w:val="0"/>
        <w:spacing w:after="0" w:line="240" w:lineRule="auto"/>
        <w:jc w:val="both"/>
        <w:rPr>
          <w:rFonts w:ascii="Times New Roman CYR" w:hAnsi="Times New Roman CYR" w:cs="Times New Roman CYR"/>
          <w:sz w:val="24"/>
          <w:szCs w:val="24"/>
        </w:rPr>
      </w:pPr>
    </w:p>
    <w:p w:rsidR="003477C3"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пряме завантаження файлу (архiву) окремої фiнансової звiтностi станом на 30.06.2024 р.</w:t>
      </w:r>
      <w:r>
        <w:rPr>
          <w:rFonts w:ascii="Times New Roman CYR" w:hAnsi="Times New Roman CYR" w:cs="Times New Roman CYR"/>
          <w:sz w:val="24"/>
          <w:szCs w:val="24"/>
        </w:rPr>
        <w:t xml:space="preserve">: </w:t>
      </w:r>
      <w:hyperlink r:id="rId8" w:history="1">
        <w:r w:rsidR="003477C3" w:rsidRPr="000664D3">
          <w:rPr>
            <w:rStyle w:val="a4"/>
            <w:rFonts w:ascii="Times New Roman CYR" w:hAnsi="Times New Roman CYR" w:cs="Times New Roman CYR"/>
            <w:sz w:val="24"/>
            <w:szCs w:val="24"/>
          </w:rPr>
          <w:t>https://www.skoda-auto.ua/_doc/15d23d2b-85db-4b39-a817-3239b7246cb8</w:t>
        </w:r>
      </w:hyperlink>
      <w:r>
        <w:rPr>
          <w:rFonts w:ascii="Times New Roman CYR" w:hAnsi="Times New Roman CYR" w:cs="Times New Roman CYR"/>
          <w:sz w:val="24"/>
          <w:szCs w:val="24"/>
        </w:rPr>
        <w:t xml:space="preserve"> </w:t>
      </w:r>
    </w:p>
    <w:p w:rsidR="003477C3"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(архiву) 2q2024_30913130 окрема.zipРозмiр файлу 49 KБ (50688 байтiв)</w:t>
      </w:r>
    </w:p>
    <w:p w:rsidR="003477C3"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SHA256 контрольна сума: cfb9faaf0be40d44d0a7275979f62e40322357d28e78af265f38920208c4f5a8</w:t>
      </w:r>
    </w:p>
    <w:p w:rsidR="003477C3"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w:t>
      </w:r>
      <w:r>
        <w:rPr>
          <w:rFonts w:ascii="Times New Roman CYR" w:hAnsi="Times New Roman CYR" w:cs="Times New Roman CYR"/>
          <w:sz w:val="24"/>
          <w:szCs w:val="24"/>
        </w:rPr>
        <w:t xml:space="preserve">завантаження файлу (архiву) консолiдованої фiнансової звiтностi станом на 30.06.2024 р.:  </w:t>
      </w:r>
      <w:hyperlink r:id="rId9" w:history="1">
        <w:r w:rsidR="003477C3" w:rsidRPr="000664D3">
          <w:rPr>
            <w:rStyle w:val="a4"/>
            <w:rFonts w:ascii="Times New Roman CYR" w:hAnsi="Times New Roman CYR" w:cs="Times New Roman CYR"/>
            <w:sz w:val="24"/>
            <w:szCs w:val="24"/>
          </w:rPr>
          <w:t>https://www.skoda-auto.ua/_doc/ae4731c0-39a8-4828-afc1-9d99c59fc2dd</w:t>
        </w:r>
      </w:hyperlink>
      <w:r>
        <w:rPr>
          <w:rFonts w:ascii="Times New Roman CYR" w:hAnsi="Times New Roman CYR" w:cs="Times New Roman CYR"/>
          <w:sz w:val="24"/>
          <w:szCs w:val="24"/>
        </w:rPr>
        <w:t xml:space="preserve"> </w:t>
      </w:r>
    </w:p>
    <w:p w:rsidR="003477C3"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(архiву) 2q2024_30913130 консолiдована.zip</w:t>
      </w:r>
    </w:p>
    <w:p w:rsidR="003477C3"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49 KБ (50886 байтiв)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SHA256 контр</w:t>
      </w:r>
      <w:r>
        <w:rPr>
          <w:rFonts w:ascii="Times New Roman CYR" w:hAnsi="Times New Roman CYR" w:cs="Times New Roman CYR"/>
          <w:sz w:val="24"/>
          <w:szCs w:val="24"/>
        </w:rPr>
        <w:t xml:space="preserve">ольна сума: 542aafeb12bdf468567c4440cb2068802dfe567a84756dd0886c2cf1ce798495    </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позицiя осiб, якi здiйснюють управлiнськi функцiї, про те, що, наскiльки це їм вiдомо, промiжна фiнансова звiтнiсть та промiж</w:t>
      </w:r>
      <w:r>
        <w:rPr>
          <w:rFonts w:ascii="Times New Roman CYR" w:hAnsi="Times New Roman CYR" w:cs="Times New Roman CYR"/>
          <w:sz w:val="24"/>
          <w:szCs w:val="24"/>
        </w:rPr>
        <w:t>на консолiдована фiнансова звiтнiсть, складена вiдповiдно до Мiжнародних стандартiв бухгалтерського облiку, що вимагаються згiдно iз Законом України "Про бухгалтерський облiк та фiнансову звiтнiсть", мiстить достовiрну та об'єктивну iнформацiю про стан акт</w:t>
      </w:r>
      <w:r>
        <w:rPr>
          <w:rFonts w:ascii="Times New Roman CYR" w:hAnsi="Times New Roman CYR" w:cs="Times New Roman CYR"/>
          <w:sz w:val="24"/>
          <w:szCs w:val="24"/>
        </w:rPr>
        <w:t>ивiв, пасивiв, фiнансовий стан, прибутки та збитки емiтента, а також про те, що промiжний звiт керiвництва, що подається вiдповiдно до частини четвертої статтi 127 Закону України "Про ринки капiталу та органiзованi товарнi ринки", мiстить достовiрну та об'</w:t>
      </w:r>
      <w:r>
        <w:rPr>
          <w:rFonts w:ascii="Times New Roman CYR" w:hAnsi="Times New Roman CYR" w:cs="Times New Roman CYR"/>
          <w:sz w:val="24"/>
          <w:szCs w:val="24"/>
        </w:rPr>
        <w:t xml:space="preserve">єктивну iнформацiю. </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Значні правочини та правочини із заінтересованістю</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500"/>
        <w:gridCol w:w="7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URL-адреса власного вебсайту особи, на якій розміщена інформація про прийняття рішення щодо попереднього надання згоди на вчинення значних правочинів</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07.05.2024</w:t>
            </w:r>
          </w:p>
        </w:tc>
        <w:tc>
          <w:tcPr>
            <w:tcW w:w="7850" w:type="dxa"/>
            <w:tcBorders>
              <w:top w:val="single" w:sz="6" w:space="0" w:color="auto"/>
              <w:left w:val="single" w:sz="6" w:space="0" w:color="auto"/>
              <w:bottom w:val="single" w:sz="6" w:space="0" w:color="auto"/>
            </w:tcBorders>
          </w:tcPr>
          <w:p w:rsidR="00000000" w:rsidRDefault="00FD1E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https://www.skoda-auto.ua/company/emitent-info-2024 </w:t>
            </w:r>
          </w:p>
        </w:tc>
      </w:tr>
    </w:tbl>
    <w:p w:rsidR="00000000" w:rsidRDefault="00FD1EBD">
      <w:pPr>
        <w:widowControl w:val="0"/>
        <w:autoSpaceDE w:val="0"/>
        <w:autoSpaceDN w:val="0"/>
        <w:adjustRightInd w:val="0"/>
        <w:spacing w:after="0" w:line="240" w:lineRule="auto"/>
        <w:rPr>
          <w:rFonts w:ascii="Times New Roman CYR" w:hAnsi="Times New Roman CYR" w:cs="Times New Roman CYR"/>
        </w:rPr>
      </w:pPr>
    </w:p>
    <w:p w:rsidR="00000000" w:rsidRDefault="00FD1E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FD1E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w:t>
      </w:r>
      <w:r>
        <w:rPr>
          <w:rFonts w:ascii="Times New Roman CYR" w:hAnsi="Times New Roman CYR" w:cs="Times New Roman CYR"/>
          <w:sz w:val="24"/>
          <w:szCs w:val="24"/>
        </w:rPr>
        <w:t>продовж звітного періоду, та їх вплив на проміжну фінансову звітність, а також опис основних ризиків та невизначеностей у діяльності особи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Важливих для Товариства подiй впродовж звiтного перiоду не вiдбувалося, вiдповiдно, їх вплив на промiжну фiнансову зв</w:t>
      </w:r>
      <w:r>
        <w:rPr>
          <w:rFonts w:ascii="Times New Roman CYR" w:hAnsi="Times New Roman CYR" w:cs="Times New Roman CYR"/>
          <w:sz w:val="24"/>
          <w:szCs w:val="24"/>
        </w:rPr>
        <w:t xml:space="preserve">iтнiсть Товариства вiдсутнiй.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характеристики систем внутрiшнього контролю та управлiння ризиками в Товариствi, не створено та не затверджено. Проте, при здiйсненнi внутрiшнього контролю використовуються рiзнi методи, вони включають в себе так</w:t>
      </w:r>
      <w:r>
        <w:rPr>
          <w:rFonts w:ascii="Times New Roman CYR" w:hAnsi="Times New Roman CYR" w:cs="Times New Roman CYR"/>
          <w:sz w:val="24"/>
          <w:szCs w:val="24"/>
        </w:rPr>
        <w:t>i елементи, як:</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документацiя, рахунки i подвiйний запис);</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нормування витрат);</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(перевiрка документiв, перевiрка вiрностi а</w:t>
      </w:r>
      <w:r>
        <w:rPr>
          <w:rFonts w:ascii="Times New Roman CYR" w:hAnsi="Times New Roman CYR" w:cs="Times New Roman CYR"/>
          <w:sz w:val="24"/>
          <w:szCs w:val="24"/>
        </w:rPr>
        <w:t>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процесi у</w:t>
      </w:r>
      <w:r>
        <w:rPr>
          <w:rFonts w:ascii="Times New Roman CYR" w:hAnsi="Times New Roman CYR" w:cs="Times New Roman CYR"/>
          <w:sz w:val="24"/>
          <w:szCs w:val="24"/>
        </w:rPr>
        <w:t>правлiння Товариством.</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управлiння ризиками є їхня мiнiмiзацiя або мiнiмiзацiя їхнiх наслiдкiв.  Фiнансовi ри-зики постiйно виникають в процесi звичайної дiяльностi Товариства.</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фiнансовi iнструменти пiдприємства, якi несуть в собi фiнансовi </w:t>
      </w:r>
      <w:r>
        <w:rPr>
          <w:rFonts w:ascii="Times New Roman CYR" w:hAnsi="Times New Roman CYR" w:cs="Times New Roman CYR"/>
          <w:sz w:val="24"/>
          <w:szCs w:val="24"/>
        </w:rPr>
        <w:t>ризики, включають грошовi кошти, дебiторську заборгованiсть, кредиторську заборгованiсть, та пiддаються впливу наступних ризикiв:</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ринковий ризик: змiни на ринку можуть iстотно вплинути на активи/зобов'язання;</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ризик втрати лiквiдностi: товариство може</w:t>
      </w:r>
      <w:r>
        <w:rPr>
          <w:rFonts w:ascii="Times New Roman CYR" w:hAnsi="Times New Roman CYR" w:cs="Times New Roman CYR"/>
          <w:sz w:val="24"/>
          <w:szCs w:val="24"/>
        </w:rPr>
        <w:t xml:space="preserve"> не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кредитн</w:t>
      </w:r>
      <w:r>
        <w:rPr>
          <w:rFonts w:ascii="Times New Roman CYR" w:hAnsi="Times New Roman CYR" w:cs="Times New Roman CYR"/>
          <w:sz w:val="24"/>
          <w:szCs w:val="24"/>
        </w:rPr>
        <w:t>ий ризик: товариство може зазнати збиткiв у разi невиконання фiнансових зобов'язань контрагентами (дебiторами).</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в Товариствi не створено. Керiвництво приймає рiшення з мiнiмiзацiї ризикiв, спираючись н</w:t>
      </w:r>
      <w:r>
        <w:rPr>
          <w:rFonts w:ascii="Times New Roman CYR" w:hAnsi="Times New Roman CYR" w:cs="Times New Roman CYR"/>
          <w:sz w:val="24"/>
          <w:szCs w:val="24"/>
        </w:rPr>
        <w:t xml:space="preserve">а власнi знання та досвiд, та застосовуючи наявнi ресурси.  </w:t>
      </w: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FD1EBD">
      <w:pPr>
        <w:widowControl w:val="0"/>
        <w:autoSpaceDE w:val="0"/>
        <w:autoSpaceDN w:val="0"/>
        <w:adjustRightInd w:val="0"/>
        <w:spacing w:after="0" w:line="240" w:lineRule="auto"/>
        <w:jc w:val="both"/>
        <w:rPr>
          <w:rFonts w:ascii="Times New Roman CYR" w:hAnsi="Times New Roman CYR" w:cs="Times New Roman CYR"/>
          <w:sz w:val="24"/>
          <w:szCs w:val="24"/>
        </w:rPr>
      </w:pPr>
    </w:p>
    <w:p w:rsidR="00FD1EBD" w:rsidRDefault="00FD1EBD">
      <w:pPr>
        <w:widowControl w:val="0"/>
        <w:autoSpaceDE w:val="0"/>
        <w:autoSpaceDN w:val="0"/>
        <w:adjustRightInd w:val="0"/>
        <w:spacing w:after="0" w:line="240" w:lineRule="auto"/>
        <w:rPr>
          <w:rFonts w:ascii="Times New Roman CYR" w:hAnsi="Times New Roman CYR" w:cs="Times New Roman CYR"/>
          <w:sz w:val="24"/>
          <w:szCs w:val="24"/>
        </w:rPr>
      </w:pPr>
    </w:p>
    <w:sectPr w:rsidR="00FD1EBD">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EBD" w:rsidRDefault="00FD1EBD" w:rsidP="00AF4462">
      <w:pPr>
        <w:spacing w:after="0" w:line="240" w:lineRule="auto"/>
      </w:pPr>
      <w:r>
        <w:separator/>
      </w:r>
    </w:p>
  </w:endnote>
  <w:endnote w:type="continuationSeparator" w:id="0">
    <w:p w:rsidR="00FD1EBD" w:rsidRDefault="00FD1EBD" w:rsidP="00AF44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EBD" w:rsidRDefault="00FD1EBD" w:rsidP="00AF4462">
      <w:pPr>
        <w:spacing w:after="0" w:line="240" w:lineRule="auto"/>
      </w:pPr>
      <w:r>
        <w:separator/>
      </w:r>
    </w:p>
  </w:footnote>
  <w:footnote w:type="continuationSeparator" w:id="0">
    <w:p w:rsidR="00FD1EBD" w:rsidRDefault="00FD1EBD" w:rsidP="00AF44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03532"/>
      <w:docPartObj>
        <w:docPartGallery w:val="Page Numbers (Top of Page)"/>
        <w:docPartUnique/>
      </w:docPartObj>
    </w:sdtPr>
    <w:sdtContent>
      <w:p w:rsidR="00AF4462" w:rsidRDefault="00AF4462">
        <w:pPr>
          <w:pStyle w:val="a5"/>
          <w:jc w:val="center"/>
        </w:pPr>
        <w:fldSimple w:instr=" PAGE   \* MERGEFORMAT ">
          <w:r>
            <w:rPr>
              <w:noProof/>
            </w:rPr>
            <w:t>4</w:t>
          </w:r>
        </w:fldSimple>
      </w:p>
    </w:sdtContent>
  </w:sdt>
  <w:p w:rsidR="00AF4462" w:rsidRDefault="00AF4462">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77C3"/>
    <w:rsid w:val="003477C3"/>
    <w:rsid w:val="00AF4462"/>
    <w:rsid w:val="00FD1EB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77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477C3"/>
    <w:rPr>
      <w:color w:val="0000FF" w:themeColor="hyperlink"/>
      <w:u w:val="single"/>
    </w:rPr>
  </w:style>
  <w:style w:type="paragraph" w:styleId="a5">
    <w:name w:val="header"/>
    <w:basedOn w:val="a"/>
    <w:link w:val="a6"/>
    <w:uiPriority w:val="99"/>
    <w:unhideWhenUsed/>
    <w:rsid w:val="00AF4462"/>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F4462"/>
  </w:style>
  <w:style w:type="paragraph" w:styleId="a7">
    <w:name w:val="footer"/>
    <w:basedOn w:val="a"/>
    <w:link w:val="a8"/>
    <w:uiPriority w:val="99"/>
    <w:semiHidden/>
    <w:unhideWhenUsed/>
    <w:rsid w:val="00AF4462"/>
    <w:pPr>
      <w:tabs>
        <w:tab w:val="center" w:pos="4819"/>
        <w:tab w:val="right" w:pos="9639"/>
      </w:tabs>
      <w:spacing w:after="0" w:line="240" w:lineRule="auto"/>
    </w:pPr>
  </w:style>
  <w:style w:type="character" w:customStyle="1" w:styleId="a8">
    <w:name w:val="Нижний колонтитул Знак"/>
    <w:basedOn w:val="a0"/>
    <w:link w:val="a7"/>
    <w:uiPriority w:val="99"/>
    <w:semiHidden/>
    <w:rsid w:val="00AF44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koda-auto.ua/_doc/15d23d2b-85db-4b39-a817-3239b7246cb8" TargetMode="External"/><Relationship Id="rId3" Type="http://schemas.openxmlformats.org/officeDocument/2006/relationships/webSettings" Target="webSettings.xml"/><Relationship Id="rId7" Type="http://schemas.openxmlformats.org/officeDocument/2006/relationships/hyperlink" Target="https://www.skoda-auto.ua/company/interim_statements2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koda-auto.ua/_doc/ae4731c0-39a8-4828-afc1-9d99c59fc2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30</Pages>
  <Words>29737</Words>
  <Characters>16951</Characters>
  <Application>Microsoft Office Word</Application>
  <DocSecurity>0</DocSecurity>
  <Lines>141</Lines>
  <Paragraphs>93</Paragraphs>
  <ScaleCrop>false</ScaleCrop>
  <Company/>
  <LinksUpToDate>false</LinksUpToDate>
  <CharactersWithSpaces>46595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3</cp:revision>
  <dcterms:created xsi:type="dcterms:W3CDTF">2025-10-27T13:25:00Z</dcterms:created>
  <dcterms:modified xsi:type="dcterms:W3CDTF">2025-10-27T13:28:00Z</dcterms:modified>
</cp:coreProperties>
</file>