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BB1AB6">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t>Титульний аркуш</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230"/>
      </w:tblGrid>
      <w:tr w:rsidR="00000000">
        <w:tblPrEx>
          <w:tblCellMar>
            <w:top w:w="0" w:type="dxa"/>
            <w:bottom w:w="0" w:type="dxa"/>
          </w:tblCellMar>
        </w:tblPrEx>
        <w:trPr>
          <w:trHeight w:val="300"/>
        </w:trPr>
        <w:tc>
          <w:tcPr>
            <w:tcW w:w="5230" w:type="dxa"/>
            <w:tcBorders>
              <w:top w:val="nil"/>
              <w:left w:val="nil"/>
              <w:bottom w:val="single" w:sz="6" w:space="0" w:color="auto"/>
              <w:right w:val="nil"/>
            </w:tcBorders>
            <w:vAlign w:val="bottom"/>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31.10.2025</w:t>
            </w:r>
          </w:p>
        </w:tc>
      </w:tr>
      <w:tr w:rsidR="00000000">
        <w:tblPrEx>
          <w:tblBorders>
            <w:bottom w:val="none" w:sz="0" w:space="0" w:color="auto"/>
          </w:tblBorders>
          <w:tblCellMar>
            <w:top w:w="0" w:type="dxa"/>
            <w:bottom w:w="0" w:type="dxa"/>
          </w:tblCellMar>
        </w:tblPrEx>
        <w:trPr>
          <w:trHeight w:val="300"/>
        </w:trPr>
        <w:tc>
          <w:tcPr>
            <w:tcW w:w="5230" w:type="dxa"/>
            <w:tcBorders>
              <w:top w:val="nil"/>
              <w:left w:val="nil"/>
              <w:bottom w:val="nil"/>
              <w:right w:val="nil"/>
            </w:tcBorders>
            <w:vAlign w:val="bottom"/>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 реєстрації особою електронного документа)</w:t>
            </w:r>
          </w:p>
        </w:tc>
      </w:tr>
      <w:tr w:rsidR="00000000">
        <w:tblPrEx>
          <w:tblCellMar>
            <w:top w:w="0" w:type="dxa"/>
            <w:bottom w:w="0" w:type="dxa"/>
          </w:tblCellMar>
        </w:tblPrEx>
        <w:trPr>
          <w:trHeight w:val="300"/>
        </w:trPr>
        <w:tc>
          <w:tcPr>
            <w:tcW w:w="5230" w:type="dxa"/>
            <w:tcBorders>
              <w:top w:val="nil"/>
              <w:left w:val="nil"/>
              <w:bottom w:val="single" w:sz="6" w:space="0" w:color="auto"/>
              <w:right w:val="nil"/>
            </w:tcBorders>
            <w:vAlign w:val="bottom"/>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378</w:t>
            </w:r>
          </w:p>
        </w:tc>
      </w:tr>
      <w:tr w:rsidR="00000000">
        <w:tblPrEx>
          <w:tblCellMar>
            <w:top w:w="0" w:type="dxa"/>
            <w:bottom w:w="0" w:type="dxa"/>
          </w:tblCellMar>
        </w:tblPrEx>
        <w:trPr>
          <w:trHeight w:val="300"/>
        </w:trPr>
        <w:tc>
          <w:tcPr>
            <w:tcW w:w="5230" w:type="dxa"/>
            <w:tcBorders>
              <w:top w:val="nil"/>
              <w:left w:val="nil"/>
              <w:bottom w:val="nil"/>
              <w:right w:val="nil"/>
            </w:tcBorders>
            <w:vAlign w:val="bottom"/>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(вихідний реєстраційний номер електронного документа)</w:t>
            </w:r>
          </w:p>
        </w:tc>
      </w:tr>
    </w:tbl>
    <w:p w:rsidR="00000000" w:rsidRDefault="00BB1AB6">
      <w:pPr>
        <w:widowControl w:val="0"/>
        <w:autoSpaceDE w:val="0"/>
        <w:autoSpaceDN w:val="0"/>
        <w:adjustRightInd w:val="0"/>
        <w:spacing w:after="0" w:line="240" w:lineRule="auto"/>
        <w:rPr>
          <w:rFonts w:ascii="Times New Roman CYR" w:hAnsi="Times New Roman CYR" w:cs="Times New Roman CYR"/>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0465"/>
      </w:tblGrid>
      <w:tr w:rsidR="00000000">
        <w:tblPrEx>
          <w:tblCellMar>
            <w:top w:w="0" w:type="dxa"/>
            <w:bottom w:w="0" w:type="dxa"/>
          </w:tblCellMar>
        </w:tblPrEx>
        <w:trPr>
          <w:trHeight w:val="300"/>
        </w:trPr>
        <w:tc>
          <w:tcPr>
            <w:tcW w:w="10465" w:type="dxa"/>
            <w:tcBorders>
              <w:top w:val="nil"/>
              <w:left w:val="nil"/>
              <w:bottom w:val="nil"/>
              <w:right w:val="nil"/>
            </w:tcBorders>
            <w:vAlign w:val="bottom"/>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415"/>
        <w:gridCol w:w="236"/>
        <w:gridCol w:w="3334"/>
        <w:gridCol w:w="236"/>
        <w:gridCol w:w="3284"/>
      </w:tblGrid>
      <w:tr w:rsidR="00000000">
        <w:tblPrEx>
          <w:tblCellMar>
            <w:top w:w="0" w:type="dxa"/>
            <w:bottom w:w="0" w:type="dxa"/>
          </w:tblCellMar>
        </w:tblPrEx>
        <w:trPr>
          <w:trHeight w:val="200"/>
        </w:trPr>
        <w:tc>
          <w:tcPr>
            <w:tcW w:w="3415" w:type="dxa"/>
            <w:tcBorders>
              <w:top w:val="nil"/>
              <w:left w:val="nil"/>
              <w:bottom w:val="single" w:sz="6" w:space="0" w:color="auto"/>
              <w:right w:val="nil"/>
            </w:tcBorders>
            <w:vAlign w:val="bottom"/>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Голова комiсiї з п</w:t>
            </w:r>
            <w:r>
              <w:rPr>
                <w:rFonts w:ascii="Times New Roman CYR" w:hAnsi="Times New Roman CYR" w:cs="Times New Roman CYR"/>
                <w:sz w:val="24"/>
                <w:szCs w:val="24"/>
              </w:rPr>
              <w:t>рипинення</w:t>
            </w:r>
          </w:p>
        </w:tc>
        <w:tc>
          <w:tcPr>
            <w:tcW w:w="216" w:type="dxa"/>
            <w:tcBorders>
              <w:top w:val="nil"/>
              <w:left w:val="nil"/>
              <w:bottom w:val="nil"/>
              <w:right w:val="nil"/>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334" w:type="dxa"/>
            <w:tcBorders>
              <w:top w:val="nil"/>
              <w:left w:val="nil"/>
              <w:bottom w:val="single" w:sz="6" w:space="0" w:color="auto"/>
              <w:right w:val="nil"/>
            </w:tcBorders>
            <w:vAlign w:val="bottom"/>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16" w:type="dxa"/>
            <w:tcBorders>
              <w:top w:val="nil"/>
              <w:left w:val="nil"/>
              <w:bottom w:val="nil"/>
              <w:right w:val="nil"/>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284" w:type="dxa"/>
            <w:tcBorders>
              <w:top w:val="nil"/>
              <w:left w:val="nil"/>
              <w:bottom w:val="single" w:sz="6" w:space="0" w:color="auto"/>
              <w:right w:val="nil"/>
            </w:tcBorders>
            <w:vAlign w:val="bottom"/>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Боярин О.П.</w:t>
            </w:r>
          </w:p>
        </w:tc>
      </w:tr>
      <w:tr w:rsidR="00000000">
        <w:tblPrEx>
          <w:tblCellMar>
            <w:top w:w="0" w:type="dxa"/>
            <w:bottom w:w="0" w:type="dxa"/>
          </w:tblCellMar>
        </w:tblPrEx>
        <w:trPr>
          <w:trHeight w:val="200"/>
        </w:trPr>
        <w:tc>
          <w:tcPr>
            <w:tcW w:w="3415" w:type="dxa"/>
            <w:tcBorders>
              <w:top w:val="nil"/>
              <w:left w:val="nil"/>
              <w:bottom w:val="nil"/>
              <w:right w:val="nil"/>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6" w:type="dxa"/>
            <w:tcBorders>
              <w:top w:val="nil"/>
              <w:left w:val="nil"/>
              <w:bottom w:val="nil"/>
              <w:right w:val="nil"/>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334" w:type="dxa"/>
            <w:tcBorders>
              <w:top w:val="nil"/>
              <w:left w:val="nil"/>
              <w:bottom w:val="nil"/>
              <w:right w:val="nil"/>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(місце для накладання електронного підпису уповноваженої особи емітента/особи,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284" w:type="dxa"/>
            <w:tcBorders>
              <w:top w:val="nil"/>
              <w:left w:val="nil"/>
              <w:bottom w:val="nil"/>
              <w:right w:val="nil"/>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(прізвище та ініціали керівника або уповноваженої особи)</w:t>
            </w:r>
          </w:p>
        </w:tc>
      </w:tr>
    </w:tbl>
    <w:p w:rsidR="00000000" w:rsidRDefault="00BB1AB6">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Проміжний звіт</w:t>
      </w:r>
    </w:p>
    <w:p w:rsidR="00000000" w:rsidRDefault="00BB1AB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Приватне акцiонерне товариство "Єврокар" (30913130)</w:t>
      </w:r>
    </w:p>
    <w:p w:rsidR="00000000" w:rsidRDefault="00BB1AB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за 3 квартал 2025 року</w:t>
      </w:r>
    </w:p>
    <w:p w:rsidR="00000000" w:rsidRDefault="00BB1AB6">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Рішення про затвердження проміжного звіту: , </w:t>
      </w:r>
    </w:p>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Особа, яка здійснює діяльність з оприлюднення регульованої інформації: </w:t>
      </w:r>
    </w:p>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яка здійснює подання звітності та/або звітних даних до Національної комісії з цінних паперів та фондового ринку: Державна установа "Агентство з розвитку iнфраструктури фондового</w:t>
      </w:r>
      <w:r>
        <w:rPr>
          <w:rFonts w:ascii="Times New Roman CYR" w:hAnsi="Times New Roman CYR" w:cs="Times New Roman CYR"/>
          <w:sz w:val="24"/>
          <w:szCs w:val="24"/>
        </w:rPr>
        <w:t xml:space="preserve"> ринку України", 21676262, Україна, DR/00002/ARM</w:t>
      </w:r>
    </w:p>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Дані про дату та місце оприлюднення проміжної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415"/>
        <w:gridCol w:w="236"/>
        <w:gridCol w:w="4949"/>
        <w:gridCol w:w="236"/>
        <w:gridCol w:w="1669"/>
      </w:tblGrid>
      <w:tr w:rsidR="00000000">
        <w:tblPrEx>
          <w:tblCellMar>
            <w:top w:w="0" w:type="dxa"/>
            <w:bottom w:w="0" w:type="dxa"/>
          </w:tblCellMar>
        </w:tblPrEx>
        <w:trPr>
          <w:trHeight w:val="300"/>
        </w:trPr>
        <w:tc>
          <w:tcPr>
            <w:tcW w:w="3415" w:type="dxa"/>
            <w:vMerge w:val="restart"/>
            <w:tcBorders>
              <w:top w:val="nil"/>
              <w:left w:val="nil"/>
              <w:bottom w:val="nil"/>
              <w:right w:val="nil"/>
            </w:tcBorders>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Проміжну інформацію розміщено на власному вебсайті емітента</w:t>
            </w:r>
          </w:p>
        </w:tc>
        <w:tc>
          <w:tcPr>
            <w:tcW w:w="216" w:type="dxa"/>
            <w:tcBorders>
              <w:top w:val="nil"/>
              <w:left w:val="nil"/>
              <w:bottom w:val="nil"/>
              <w:right w:val="nil"/>
            </w:tcBorders>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p>
        </w:tc>
        <w:tc>
          <w:tcPr>
            <w:tcW w:w="4949" w:type="dxa"/>
            <w:tcBorders>
              <w:top w:val="nil"/>
              <w:left w:val="nil"/>
              <w:bottom w:val="single" w:sz="6" w:space="0" w:color="auto"/>
              <w:right w:val="nil"/>
            </w:tcBorders>
            <w:vAlign w:val="bottom"/>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ttps://www.skoda-auto.ua/company/interim-information-of-the-issuer-of-securities-for-20</w:t>
            </w:r>
            <w:r>
              <w:rPr>
                <w:rFonts w:ascii="Times New Roman CYR" w:hAnsi="Times New Roman CYR" w:cs="Times New Roman CYR"/>
                <w:sz w:val="24"/>
                <w:szCs w:val="24"/>
              </w:rPr>
              <w:t>25</w:t>
            </w:r>
          </w:p>
        </w:tc>
        <w:tc>
          <w:tcPr>
            <w:tcW w:w="216" w:type="dxa"/>
            <w:tcBorders>
              <w:top w:val="nil"/>
              <w:left w:val="nil"/>
              <w:bottom w:val="nil"/>
              <w:right w:val="nil"/>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669" w:type="dxa"/>
            <w:tcBorders>
              <w:top w:val="nil"/>
              <w:left w:val="nil"/>
              <w:bottom w:val="single" w:sz="6" w:space="0" w:color="auto"/>
              <w:right w:val="nil"/>
            </w:tcBorders>
            <w:vAlign w:val="bottom"/>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31.10.2025</w:t>
            </w:r>
          </w:p>
        </w:tc>
      </w:tr>
      <w:tr w:rsidR="00000000">
        <w:tblPrEx>
          <w:tblCellMar>
            <w:top w:w="0" w:type="dxa"/>
            <w:bottom w:w="0" w:type="dxa"/>
          </w:tblCellMar>
        </w:tblPrEx>
        <w:trPr>
          <w:trHeight w:val="300"/>
        </w:trPr>
        <w:tc>
          <w:tcPr>
            <w:tcW w:w="3415" w:type="dxa"/>
            <w:vMerge/>
            <w:tcBorders>
              <w:top w:val="nil"/>
              <w:left w:val="nil"/>
              <w:bottom w:val="nil"/>
              <w:right w:val="nil"/>
            </w:tcBorders>
          </w:tcPr>
          <w:p w:rsidR="00000000" w:rsidRDefault="00BB1AB6">
            <w:pPr>
              <w:widowControl w:val="0"/>
              <w:autoSpaceDE w:val="0"/>
              <w:autoSpaceDN w:val="0"/>
              <w:adjustRightInd w:val="0"/>
              <w:spacing w:after="0" w:line="240" w:lineRule="auto"/>
              <w:rPr>
                <w:rFonts w:ascii="Times New Roman CYR" w:hAnsi="Times New Roman CYR" w:cs="Times New Roman CYR"/>
                <w:sz w:val="20"/>
                <w:szCs w:val="20"/>
              </w:rPr>
            </w:pPr>
          </w:p>
        </w:tc>
        <w:tc>
          <w:tcPr>
            <w:tcW w:w="216" w:type="dxa"/>
            <w:tcBorders>
              <w:top w:val="nil"/>
              <w:left w:val="nil"/>
              <w:bottom w:val="nil"/>
              <w:right w:val="nil"/>
            </w:tcBorders>
          </w:tcPr>
          <w:p w:rsidR="00000000" w:rsidRDefault="00BB1AB6">
            <w:pPr>
              <w:widowControl w:val="0"/>
              <w:autoSpaceDE w:val="0"/>
              <w:autoSpaceDN w:val="0"/>
              <w:adjustRightInd w:val="0"/>
              <w:spacing w:after="0" w:line="240" w:lineRule="auto"/>
              <w:rPr>
                <w:rFonts w:ascii="Times New Roman CYR" w:hAnsi="Times New Roman CYR" w:cs="Times New Roman CYR"/>
                <w:sz w:val="20"/>
                <w:szCs w:val="20"/>
              </w:rPr>
            </w:pPr>
          </w:p>
        </w:tc>
        <w:tc>
          <w:tcPr>
            <w:tcW w:w="4949" w:type="dxa"/>
            <w:tcBorders>
              <w:top w:val="nil"/>
              <w:left w:val="nil"/>
              <w:bottom w:val="nil"/>
              <w:right w:val="nil"/>
            </w:tcBorders>
            <w:vAlign w:val="bottom"/>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(URL-адреса вебсайту)</w:t>
            </w:r>
          </w:p>
        </w:tc>
        <w:tc>
          <w:tcPr>
            <w:tcW w:w="216" w:type="dxa"/>
            <w:tcBorders>
              <w:top w:val="nil"/>
              <w:left w:val="nil"/>
              <w:bottom w:val="nil"/>
              <w:right w:val="nil"/>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69" w:type="dxa"/>
            <w:tcBorders>
              <w:top w:val="nil"/>
              <w:left w:val="nil"/>
              <w:bottom w:val="nil"/>
              <w:right w:val="nil"/>
            </w:tcBorders>
            <w:vAlign w:val="bottom"/>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w:t>
            </w:r>
          </w:p>
        </w:tc>
      </w:tr>
    </w:tbl>
    <w:p w:rsidR="00000000" w:rsidRDefault="00BB1AB6">
      <w:pPr>
        <w:widowControl w:val="0"/>
        <w:autoSpaceDE w:val="0"/>
        <w:autoSpaceDN w:val="0"/>
        <w:adjustRightInd w:val="0"/>
        <w:spacing w:after="0" w:line="240" w:lineRule="auto"/>
        <w:rPr>
          <w:rFonts w:ascii="Times New Roman CYR" w:hAnsi="Times New Roman CYR" w:cs="Times New Roman CYR"/>
          <w:sz w:val="20"/>
          <w:szCs w:val="20"/>
        </w:rPr>
        <w:sectPr w:rsidR="00000000">
          <w:headerReference w:type="default" r:id="rId6"/>
          <w:pgSz w:w="12240" w:h="15840"/>
          <w:pgMar w:top="570" w:right="720" w:bottom="570" w:left="720" w:header="708" w:footer="708" w:gutter="0"/>
          <w:cols w:space="720"/>
          <w:noEndnote/>
        </w:sect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Пояснення щодо розкриття інформації</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Промiжний звiт за 3 квартал 2025 року не був затверджений жодним iз органiв Товариства, тому що законодавством, статутом та внутрiшнiми документами Товариства не передбачено затвердження промiжного звiту.</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усiх випускiв цiнних паперiв, за я</w:t>
      </w:r>
      <w:r>
        <w:rPr>
          <w:rFonts w:ascii="Times New Roman CYR" w:hAnsi="Times New Roman CYR" w:cs="Times New Roman CYR"/>
          <w:sz w:val="24"/>
          <w:szCs w:val="24"/>
        </w:rPr>
        <w:t>кими надається забезпечення не надається, тому що Товариство не є особою, яка надає забезпечення.</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всiх осiб, якi надають забезпечення за зобов'язаннями емiтента не надається, тому що Товариство не випускало забезпечених цiнних паперiв.</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w:t>
      </w:r>
      <w:r>
        <w:rPr>
          <w:rFonts w:ascii="Times New Roman CYR" w:hAnsi="Times New Roman CYR" w:cs="Times New Roman CYR"/>
          <w:sz w:val="24"/>
          <w:szCs w:val="24"/>
        </w:rPr>
        <w:t>формацiя про рейтингове агентство не надається, тому що Товариства не визначає рейтингової оцiнки емiтента або цiнних паперiв вiдповiдно до ст. 4-1 Закону України "Про державне регулювання ринкiв капiталу та органiзованих товарних ринкiв".</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про </w:t>
      </w:r>
      <w:r>
        <w:rPr>
          <w:rFonts w:ascii="Times New Roman CYR" w:hAnsi="Times New Roman CYR" w:cs="Times New Roman CYR"/>
          <w:sz w:val="24"/>
          <w:szCs w:val="24"/>
        </w:rPr>
        <w:t>судовi справи не надається, тому що Товариство не має судових справ, за якими розглядаються позовнi вимоги у розмiрi на суму 1 та бiльше вiдсоткiв активiв Товариства станом на кiнець звiтного перiоду, стороною в яких виступає Товариство.</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штрафнi санкцiї не надається, тому що протягом звiтного перiоду до Товариства не застосовувались штрафнi санкцiї.</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зв'язку з тим, що в Додатку 10 до Положення про розкриття iнформацiї емiтентами цiнних паперiв, а також особами, якi надають</w:t>
      </w:r>
      <w:r>
        <w:rPr>
          <w:rFonts w:ascii="Times New Roman CYR" w:hAnsi="Times New Roman CYR" w:cs="Times New Roman CYR"/>
          <w:sz w:val="24"/>
          <w:szCs w:val="24"/>
        </w:rPr>
        <w:t xml:space="preserve"> забезпечення за такими цiнними паперами, затвердженого рiшенням НКЦПФР вiд 06.06.2023 № 608 не передбачено роздiл, в якому потрiбно вказати iнформацiю про засновникiв, така iнформацiя наводиться нижче:</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Засновниками є двi фiзичнi особи: Боярин Олег Петров</w:t>
      </w:r>
      <w:r>
        <w:rPr>
          <w:rFonts w:ascii="Times New Roman CYR" w:hAnsi="Times New Roman CYR" w:cs="Times New Roman CYR"/>
          <w:sz w:val="24"/>
          <w:szCs w:val="24"/>
        </w:rPr>
        <w:t>ич, Царенко Iгор Анатолiйович.</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володiння посадовими особами акцiями Товариства не надається, тому що посадовi особи акцiями Товариства не володiють.</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стосовно вiдокремлених пiдроздiлiв не надається, тому що Товариство не має вiд</w:t>
      </w:r>
      <w:r>
        <w:rPr>
          <w:rFonts w:ascii="Times New Roman CYR" w:hAnsi="Times New Roman CYR" w:cs="Times New Roman CYR"/>
          <w:sz w:val="24"/>
          <w:szCs w:val="24"/>
        </w:rPr>
        <w:t>окремлених пiдроздiлiв.</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Уточнення щодо наявностi обмежень за акцiями не надається, тому що такi обмеження вiдсутнi.</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облiгацiї не надається, тому що Товариство не випускало облiгацiй.</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про iншi цiннi папери не надається, тому що </w:t>
      </w:r>
      <w:r>
        <w:rPr>
          <w:rFonts w:ascii="Times New Roman CYR" w:hAnsi="Times New Roman CYR" w:cs="Times New Roman CYR"/>
          <w:sz w:val="24"/>
          <w:szCs w:val="24"/>
        </w:rPr>
        <w:t>Товариство не випускало iнших цiнних паперiв.</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деривативнi цiннi папери не надається, тому що Товариство не випускало деривативнi цiннi папери.</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забезпечення випуску боргових цiнних папнерiв не надається, тому що Товариство не</w:t>
      </w:r>
      <w:r>
        <w:rPr>
          <w:rFonts w:ascii="Times New Roman CYR" w:hAnsi="Times New Roman CYR" w:cs="Times New Roman CYR"/>
          <w:sz w:val="24"/>
          <w:szCs w:val="24"/>
        </w:rPr>
        <w:t xml:space="preserve"> випускало забезпечених боргових цiнних паперiв.</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Звiт про стан об'єкта нерухомостi (у разi емiсiї цiльових корпоративних облiгацiй, виконання зобов'язань за якими здiйснюється шляхом передання об'єкта (частини об'єкта) житлового будiвництва) не </w:t>
      </w:r>
      <w:r>
        <w:rPr>
          <w:rFonts w:ascii="Times New Roman CYR" w:hAnsi="Times New Roman CYR" w:cs="Times New Roman CYR"/>
          <w:sz w:val="24"/>
          <w:szCs w:val="24"/>
        </w:rPr>
        <w:lastRenderedPageBreak/>
        <w:t>надається,</w:t>
      </w:r>
      <w:r>
        <w:rPr>
          <w:rFonts w:ascii="Times New Roman CYR" w:hAnsi="Times New Roman CYR" w:cs="Times New Roman CYR"/>
          <w:sz w:val="24"/>
          <w:szCs w:val="24"/>
        </w:rPr>
        <w:t xml:space="preserve"> тому що Товариство не випускало цiльових корпоративних облiгацiй, виконання зобов'язань за якими здiйснюється шляхом об'єкта (частини об'єкта) житлового будiвництва.</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придбання власних акцiй протягом звiтного перiоду не надається, тому що Т</w:t>
      </w:r>
      <w:r>
        <w:rPr>
          <w:rFonts w:ascii="Times New Roman CYR" w:hAnsi="Times New Roman CYR" w:cs="Times New Roman CYR"/>
          <w:sz w:val="24"/>
          <w:szCs w:val="24"/>
        </w:rPr>
        <w:t>овариство не придбавало власних акцiй протягом звiтного перiоду.</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наявнiсть у власностi працiвникiв особи цiнних паперiв (крiм акцiй) такої особи не надається, тому що Товариство не випускало iнших цiнних паперiв, крiм акцiй.</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w:t>
      </w:r>
      <w:r>
        <w:rPr>
          <w:rFonts w:ascii="Times New Roman CYR" w:hAnsi="Times New Roman CYR" w:cs="Times New Roman CYR"/>
          <w:sz w:val="24"/>
          <w:szCs w:val="24"/>
        </w:rPr>
        <w:t xml:space="preserve"> наявнiсть у власностi працiвникiв особи акцiй у розмiрi понад 0,1% розмiру статутного капiталу не надається, тому що працiвники Товариства не володiють акцiями Товариства.</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Звiт щодо огляду промiжної фiнансової звiтностi не надається, тому що Товариством не залучався суб'єкт аудиторської дiяльностi для перевiрки промiжної фiнансової звiтностi Товариства.</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вчинення значних правочинiв не надається, тому що такi п</w:t>
      </w:r>
      <w:r>
        <w:rPr>
          <w:rFonts w:ascii="Times New Roman CYR" w:hAnsi="Times New Roman CYR" w:cs="Times New Roman CYR"/>
          <w:sz w:val="24"/>
          <w:szCs w:val="24"/>
        </w:rPr>
        <w:t>равочини в Товариствi в</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звiтному перiодi не вчинялись.</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вчинення правочинiв, щодо вчинення яких є заiнтересованiсть, не надається, тому що протягом звiтного перiоду правочини з заiнтерисованiстю не вчинялись.</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Промiжна фiнансова звiтнiсть е</w:t>
      </w:r>
      <w:r>
        <w:rPr>
          <w:rFonts w:ascii="Times New Roman CYR" w:hAnsi="Times New Roman CYR" w:cs="Times New Roman CYR"/>
          <w:sz w:val="24"/>
          <w:szCs w:val="24"/>
        </w:rPr>
        <w:t>мiтента, складена за положеннями (стандартами) бухгалтерського облiку не надається, тому що Товариство подає фiнансову звiтнiсть, складену за мiжнародними стандартами фiнансової звiтностi.</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Промiжна фiнансова звiтнiсть та консолiдована промiжна фiнансова з</w:t>
      </w:r>
      <w:r>
        <w:rPr>
          <w:rFonts w:ascii="Times New Roman CYR" w:hAnsi="Times New Roman CYR" w:cs="Times New Roman CYR"/>
          <w:sz w:val="24"/>
          <w:szCs w:val="24"/>
        </w:rPr>
        <w:t xml:space="preserve">вiтнiсть емiтента, складена за мiжнародними стандартами фiнансової звiтностi, не надається, тому що в р. III гл.I даного промiжного звiту зазначено посилання на URL-адреса вебсайту особи, за якою розмiщено промiжну фiнансову звiтнiсть на основi таксономiї </w:t>
      </w:r>
      <w:r>
        <w:rPr>
          <w:rFonts w:ascii="Times New Roman CYR" w:hAnsi="Times New Roman CYR" w:cs="Times New Roman CYR"/>
          <w:sz w:val="24"/>
          <w:szCs w:val="24"/>
        </w:rPr>
        <w:t xml:space="preserve">фiнансової звiтностi. </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стосовно РНОКПП та УНЗР деяких посадових осiб не надається, тому що РНОКПП та УНЗР в таких посадових осiб вiдсутнiй</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555F15" w:rsidRDefault="00555F15">
      <w:pPr>
        <w:widowControl w:val="0"/>
        <w:autoSpaceDE w:val="0"/>
        <w:autoSpaceDN w:val="0"/>
        <w:adjustRightInd w:val="0"/>
        <w:spacing w:after="0" w:line="240" w:lineRule="auto"/>
        <w:jc w:val="both"/>
        <w:rPr>
          <w:rFonts w:ascii="Times New Roman CYR" w:hAnsi="Times New Roman CYR" w:cs="Times New Roman CYR"/>
          <w:sz w:val="24"/>
          <w:szCs w:val="24"/>
        </w:rPr>
      </w:pPr>
    </w:p>
    <w:p w:rsidR="00555F15" w:rsidRDefault="00555F15">
      <w:pPr>
        <w:widowControl w:val="0"/>
        <w:autoSpaceDE w:val="0"/>
        <w:autoSpaceDN w:val="0"/>
        <w:adjustRightInd w:val="0"/>
        <w:spacing w:after="0" w:line="240" w:lineRule="auto"/>
        <w:jc w:val="both"/>
        <w:rPr>
          <w:rFonts w:ascii="Times New Roman CYR" w:hAnsi="Times New Roman CYR" w:cs="Times New Roman CYR"/>
          <w:sz w:val="24"/>
          <w:szCs w:val="24"/>
        </w:rPr>
      </w:pPr>
    </w:p>
    <w:p w:rsidR="00555F15" w:rsidRDefault="00555F15">
      <w:pPr>
        <w:widowControl w:val="0"/>
        <w:autoSpaceDE w:val="0"/>
        <w:autoSpaceDN w:val="0"/>
        <w:adjustRightInd w:val="0"/>
        <w:spacing w:after="0" w:line="240" w:lineRule="auto"/>
        <w:jc w:val="both"/>
        <w:rPr>
          <w:rFonts w:ascii="Times New Roman CYR" w:hAnsi="Times New Roman CYR" w:cs="Times New Roman CYR"/>
          <w:sz w:val="24"/>
          <w:szCs w:val="24"/>
        </w:rPr>
      </w:pPr>
    </w:p>
    <w:p w:rsidR="00555F15" w:rsidRDefault="00555F15">
      <w:pPr>
        <w:widowControl w:val="0"/>
        <w:autoSpaceDE w:val="0"/>
        <w:autoSpaceDN w:val="0"/>
        <w:adjustRightInd w:val="0"/>
        <w:spacing w:after="0" w:line="240" w:lineRule="auto"/>
        <w:jc w:val="both"/>
        <w:rPr>
          <w:rFonts w:ascii="Times New Roman CYR" w:hAnsi="Times New Roman CYR" w:cs="Times New Roman CYR"/>
          <w:sz w:val="24"/>
          <w:szCs w:val="24"/>
        </w:rPr>
      </w:pPr>
    </w:p>
    <w:p w:rsidR="00555F15" w:rsidRDefault="00555F15">
      <w:pPr>
        <w:widowControl w:val="0"/>
        <w:autoSpaceDE w:val="0"/>
        <w:autoSpaceDN w:val="0"/>
        <w:adjustRightInd w:val="0"/>
        <w:spacing w:after="0" w:line="240" w:lineRule="auto"/>
        <w:jc w:val="both"/>
        <w:rPr>
          <w:rFonts w:ascii="Times New Roman CYR" w:hAnsi="Times New Roman CYR" w:cs="Times New Roman CYR"/>
          <w:sz w:val="24"/>
          <w:szCs w:val="24"/>
        </w:rPr>
      </w:pPr>
    </w:p>
    <w:p w:rsidR="00555F15" w:rsidRDefault="00555F15">
      <w:pPr>
        <w:widowControl w:val="0"/>
        <w:autoSpaceDE w:val="0"/>
        <w:autoSpaceDN w:val="0"/>
        <w:adjustRightInd w:val="0"/>
        <w:spacing w:after="0" w:line="240" w:lineRule="auto"/>
        <w:jc w:val="both"/>
        <w:rPr>
          <w:rFonts w:ascii="Times New Roman CYR" w:hAnsi="Times New Roman CYR" w:cs="Times New Roman CYR"/>
          <w:sz w:val="24"/>
          <w:szCs w:val="24"/>
        </w:rPr>
      </w:pPr>
    </w:p>
    <w:p w:rsidR="00555F15" w:rsidRDefault="00555F15">
      <w:pPr>
        <w:widowControl w:val="0"/>
        <w:autoSpaceDE w:val="0"/>
        <w:autoSpaceDN w:val="0"/>
        <w:adjustRightInd w:val="0"/>
        <w:spacing w:after="0" w:line="240" w:lineRule="auto"/>
        <w:jc w:val="both"/>
        <w:rPr>
          <w:rFonts w:ascii="Times New Roman CYR" w:hAnsi="Times New Roman CYR" w:cs="Times New Roman CYR"/>
          <w:sz w:val="24"/>
          <w:szCs w:val="24"/>
        </w:rPr>
      </w:pPr>
    </w:p>
    <w:p w:rsidR="00555F15" w:rsidRDefault="00555F15">
      <w:pPr>
        <w:widowControl w:val="0"/>
        <w:autoSpaceDE w:val="0"/>
        <w:autoSpaceDN w:val="0"/>
        <w:adjustRightInd w:val="0"/>
        <w:spacing w:after="0" w:line="240" w:lineRule="auto"/>
        <w:jc w:val="both"/>
        <w:rPr>
          <w:rFonts w:ascii="Times New Roman CYR" w:hAnsi="Times New Roman CYR" w:cs="Times New Roman CYR"/>
          <w:sz w:val="24"/>
          <w:szCs w:val="24"/>
        </w:rPr>
      </w:pPr>
    </w:p>
    <w:p w:rsidR="00555F15" w:rsidRDefault="00555F15">
      <w:pPr>
        <w:widowControl w:val="0"/>
        <w:autoSpaceDE w:val="0"/>
        <w:autoSpaceDN w:val="0"/>
        <w:adjustRightInd w:val="0"/>
        <w:spacing w:after="0" w:line="240" w:lineRule="auto"/>
        <w:jc w:val="both"/>
        <w:rPr>
          <w:rFonts w:ascii="Times New Roman CYR" w:hAnsi="Times New Roman CYR" w:cs="Times New Roman CYR"/>
          <w:sz w:val="24"/>
          <w:szCs w:val="24"/>
        </w:rPr>
      </w:pPr>
    </w:p>
    <w:p w:rsidR="00555F15" w:rsidRDefault="00555F15">
      <w:pPr>
        <w:widowControl w:val="0"/>
        <w:autoSpaceDE w:val="0"/>
        <w:autoSpaceDN w:val="0"/>
        <w:adjustRightInd w:val="0"/>
        <w:spacing w:after="0" w:line="240" w:lineRule="auto"/>
        <w:jc w:val="both"/>
        <w:rPr>
          <w:rFonts w:ascii="Times New Roman CYR" w:hAnsi="Times New Roman CYR" w:cs="Times New Roman CYR"/>
          <w:sz w:val="24"/>
          <w:szCs w:val="24"/>
        </w:rPr>
      </w:pPr>
    </w:p>
    <w:p w:rsidR="00555F15" w:rsidRDefault="00555F15">
      <w:pPr>
        <w:widowControl w:val="0"/>
        <w:autoSpaceDE w:val="0"/>
        <w:autoSpaceDN w:val="0"/>
        <w:adjustRightInd w:val="0"/>
        <w:spacing w:after="0" w:line="240" w:lineRule="auto"/>
        <w:jc w:val="both"/>
        <w:rPr>
          <w:rFonts w:ascii="Times New Roman CYR" w:hAnsi="Times New Roman CYR" w:cs="Times New Roman CYR"/>
          <w:sz w:val="24"/>
          <w:szCs w:val="24"/>
        </w:rPr>
      </w:pPr>
    </w:p>
    <w:p w:rsidR="00555F15" w:rsidRDefault="00555F1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Зміст</w:t>
      </w:r>
    </w:p>
    <w:p w:rsidR="00000000" w:rsidRDefault="00BB1AB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до проміжного звіту</w:t>
      </w:r>
    </w:p>
    <w:p w:rsidR="00555F15" w:rsidRDefault="00555F15">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555F15" w:rsidRDefault="00555F15">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555F15" w:rsidRDefault="00555F15">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555F15" w:rsidRDefault="00555F15">
      <w:pPr>
        <w:widowControl w:val="0"/>
        <w:autoSpaceDE w:val="0"/>
        <w:autoSpaceDN w:val="0"/>
        <w:adjustRightInd w:val="0"/>
        <w:spacing w:after="0" w:line="240" w:lineRule="auto"/>
        <w:jc w:val="center"/>
        <w:rPr>
          <w:rFonts w:ascii="Times New Roman CYR" w:hAnsi="Times New Roman CYR" w:cs="Times New Roman CYR"/>
          <w:b/>
          <w:bCs/>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755"/>
        <w:gridCol w:w="1830"/>
      </w:tblGrid>
      <w:tr w:rsidR="00555F15" w:rsidTr="00555F15">
        <w:tc>
          <w:tcPr>
            <w:tcW w:w="8755" w:type="dxa"/>
          </w:tcPr>
          <w:p w:rsidR="00555F15" w:rsidRDefault="00555F15" w:rsidP="00555F15">
            <w:pPr>
              <w:widowControl w:val="0"/>
              <w:autoSpaceDE w:val="0"/>
              <w:autoSpaceDN w:val="0"/>
              <w:adjustRightInd w:val="0"/>
              <w:rPr>
                <w:rFonts w:ascii="Times New Roman CYR" w:hAnsi="Times New Roman CYR" w:cs="Times New Roman CYR"/>
                <w:sz w:val="24"/>
                <w:szCs w:val="24"/>
              </w:rPr>
            </w:pPr>
            <w:r w:rsidRPr="00555F15">
              <w:rPr>
                <w:rFonts w:ascii="Times New Roman CYR" w:hAnsi="Times New Roman CYR" w:cs="Times New Roman CYR"/>
                <w:sz w:val="24"/>
                <w:szCs w:val="24"/>
              </w:rPr>
              <w:t>I. Загальна інформація</w:t>
            </w:r>
          </w:p>
        </w:tc>
        <w:tc>
          <w:tcPr>
            <w:tcW w:w="1830" w:type="dxa"/>
          </w:tcPr>
          <w:p w:rsidR="00555F15" w:rsidRDefault="00555F15">
            <w:pPr>
              <w:widowControl w:val="0"/>
              <w:autoSpaceDE w:val="0"/>
              <w:autoSpaceDN w:val="0"/>
              <w:adjustRightInd w:val="0"/>
              <w:jc w:val="center"/>
              <w:rPr>
                <w:rFonts w:ascii="Times New Roman CYR" w:hAnsi="Times New Roman CYR" w:cs="Times New Roman CYR"/>
                <w:sz w:val="24"/>
                <w:szCs w:val="24"/>
              </w:rPr>
            </w:pPr>
            <w:r>
              <w:rPr>
                <w:rFonts w:ascii="Times New Roman CYR" w:hAnsi="Times New Roman CYR" w:cs="Times New Roman CYR"/>
                <w:sz w:val="24"/>
                <w:szCs w:val="24"/>
              </w:rPr>
              <w:t>5</w:t>
            </w:r>
          </w:p>
        </w:tc>
      </w:tr>
      <w:tr w:rsidR="00555F15" w:rsidTr="00555F15">
        <w:tc>
          <w:tcPr>
            <w:tcW w:w="8755" w:type="dxa"/>
          </w:tcPr>
          <w:p w:rsidR="00555F15" w:rsidRDefault="00555F15" w:rsidP="00555F15">
            <w:pPr>
              <w:widowControl w:val="0"/>
              <w:autoSpaceDE w:val="0"/>
              <w:autoSpaceDN w:val="0"/>
              <w:adjustRightInd w:val="0"/>
              <w:rPr>
                <w:rFonts w:ascii="Times New Roman CYR" w:hAnsi="Times New Roman CYR" w:cs="Times New Roman CYR"/>
                <w:sz w:val="24"/>
                <w:szCs w:val="24"/>
              </w:rPr>
            </w:pPr>
            <w:r w:rsidRPr="00555F15">
              <w:rPr>
                <w:rFonts w:ascii="Times New Roman CYR" w:hAnsi="Times New Roman CYR" w:cs="Times New Roman CYR"/>
                <w:sz w:val="24"/>
                <w:szCs w:val="24"/>
              </w:rPr>
              <w:t>1. Ідентифікаційні дані та загальна інформація</w:t>
            </w:r>
          </w:p>
        </w:tc>
        <w:tc>
          <w:tcPr>
            <w:tcW w:w="1830" w:type="dxa"/>
          </w:tcPr>
          <w:p w:rsidR="00555F15" w:rsidRDefault="00555F15">
            <w:pPr>
              <w:widowControl w:val="0"/>
              <w:autoSpaceDE w:val="0"/>
              <w:autoSpaceDN w:val="0"/>
              <w:adjustRightInd w:val="0"/>
              <w:jc w:val="center"/>
              <w:rPr>
                <w:rFonts w:ascii="Times New Roman CYR" w:hAnsi="Times New Roman CYR" w:cs="Times New Roman CYR"/>
                <w:sz w:val="24"/>
                <w:szCs w:val="24"/>
              </w:rPr>
            </w:pPr>
            <w:r>
              <w:rPr>
                <w:rFonts w:ascii="Times New Roman CYR" w:hAnsi="Times New Roman CYR" w:cs="Times New Roman CYR"/>
                <w:sz w:val="24"/>
                <w:szCs w:val="24"/>
              </w:rPr>
              <w:t>5</w:t>
            </w:r>
          </w:p>
        </w:tc>
      </w:tr>
      <w:tr w:rsidR="00555F15" w:rsidTr="00555F15">
        <w:tc>
          <w:tcPr>
            <w:tcW w:w="8755" w:type="dxa"/>
          </w:tcPr>
          <w:p w:rsidR="00555F15" w:rsidRDefault="00555F15" w:rsidP="00555F15">
            <w:pPr>
              <w:widowControl w:val="0"/>
              <w:autoSpaceDE w:val="0"/>
              <w:autoSpaceDN w:val="0"/>
              <w:adjustRightInd w:val="0"/>
              <w:rPr>
                <w:rFonts w:ascii="Times New Roman CYR" w:hAnsi="Times New Roman CYR" w:cs="Times New Roman CYR"/>
                <w:sz w:val="24"/>
                <w:szCs w:val="24"/>
              </w:rPr>
            </w:pPr>
            <w:r w:rsidRPr="00555F15">
              <w:rPr>
                <w:rFonts w:ascii="Times New Roman CYR" w:hAnsi="Times New Roman CYR" w:cs="Times New Roman CYR"/>
                <w:sz w:val="24"/>
                <w:szCs w:val="24"/>
              </w:rPr>
              <w:t>2. Органи управління та посадові особи. Організаційна структура</w:t>
            </w:r>
          </w:p>
        </w:tc>
        <w:tc>
          <w:tcPr>
            <w:tcW w:w="1830" w:type="dxa"/>
          </w:tcPr>
          <w:p w:rsidR="00555F15" w:rsidRDefault="00555F15">
            <w:pPr>
              <w:widowControl w:val="0"/>
              <w:autoSpaceDE w:val="0"/>
              <w:autoSpaceDN w:val="0"/>
              <w:adjustRightInd w:val="0"/>
              <w:jc w:val="center"/>
              <w:rPr>
                <w:rFonts w:ascii="Times New Roman CYR" w:hAnsi="Times New Roman CYR" w:cs="Times New Roman CYR"/>
                <w:sz w:val="24"/>
                <w:szCs w:val="24"/>
              </w:rPr>
            </w:pPr>
            <w:r>
              <w:rPr>
                <w:rFonts w:ascii="Times New Roman CYR" w:hAnsi="Times New Roman CYR" w:cs="Times New Roman CYR"/>
                <w:sz w:val="24"/>
                <w:szCs w:val="24"/>
              </w:rPr>
              <w:t>7</w:t>
            </w:r>
          </w:p>
        </w:tc>
      </w:tr>
      <w:tr w:rsidR="00555F15" w:rsidTr="00555F15">
        <w:tc>
          <w:tcPr>
            <w:tcW w:w="8755" w:type="dxa"/>
          </w:tcPr>
          <w:p w:rsidR="00555F15" w:rsidRDefault="00555F15" w:rsidP="00555F15">
            <w:pPr>
              <w:widowControl w:val="0"/>
              <w:autoSpaceDE w:val="0"/>
              <w:autoSpaceDN w:val="0"/>
              <w:adjustRightInd w:val="0"/>
              <w:rPr>
                <w:rFonts w:ascii="Times New Roman CYR" w:hAnsi="Times New Roman CYR" w:cs="Times New Roman CYR"/>
                <w:sz w:val="24"/>
                <w:szCs w:val="24"/>
              </w:rPr>
            </w:pPr>
            <w:r w:rsidRPr="00555F15">
              <w:rPr>
                <w:rFonts w:ascii="Times New Roman CYR" w:hAnsi="Times New Roman CYR" w:cs="Times New Roman CYR"/>
                <w:sz w:val="24"/>
                <w:szCs w:val="24"/>
              </w:rPr>
              <w:t>3. Структура власності</w:t>
            </w:r>
          </w:p>
        </w:tc>
        <w:tc>
          <w:tcPr>
            <w:tcW w:w="1830" w:type="dxa"/>
          </w:tcPr>
          <w:p w:rsidR="00555F15" w:rsidRDefault="00555F15">
            <w:pPr>
              <w:widowControl w:val="0"/>
              <w:autoSpaceDE w:val="0"/>
              <w:autoSpaceDN w:val="0"/>
              <w:adjustRightInd w:val="0"/>
              <w:jc w:val="center"/>
              <w:rPr>
                <w:rFonts w:ascii="Times New Roman CYR" w:hAnsi="Times New Roman CYR" w:cs="Times New Roman CYR"/>
                <w:sz w:val="24"/>
                <w:szCs w:val="24"/>
              </w:rPr>
            </w:pPr>
            <w:r>
              <w:rPr>
                <w:rFonts w:ascii="Times New Roman CYR" w:hAnsi="Times New Roman CYR" w:cs="Times New Roman CYR"/>
                <w:sz w:val="24"/>
                <w:szCs w:val="24"/>
              </w:rPr>
              <w:t>15</w:t>
            </w:r>
          </w:p>
        </w:tc>
      </w:tr>
      <w:tr w:rsidR="00555F15" w:rsidTr="00555F15">
        <w:tc>
          <w:tcPr>
            <w:tcW w:w="8755" w:type="dxa"/>
          </w:tcPr>
          <w:p w:rsidR="00555F15" w:rsidRDefault="00555F15" w:rsidP="00555F15">
            <w:pPr>
              <w:widowControl w:val="0"/>
              <w:autoSpaceDE w:val="0"/>
              <w:autoSpaceDN w:val="0"/>
              <w:adjustRightInd w:val="0"/>
              <w:rPr>
                <w:rFonts w:ascii="Times New Roman CYR" w:hAnsi="Times New Roman CYR" w:cs="Times New Roman CYR"/>
                <w:sz w:val="24"/>
                <w:szCs w:val="24"/>
              </w:rPr>
            </w:pPr>
            <w:r w:rsidRPr="00555F15">
              <w:rPr>
                <w:rFonts w:ascii="Times New Roman CYR" w:hAnsi="Times New Roman CYR" w:cs="Times New Roman CYR"/>
                <w:sz w:val="24"/>
                <w:szCs w:val="24"/>
              </w:rPr>
              <w:t>4. Опис господарської та фінансової діяльності</w:t>
            </w:r>
          </w:p>
        </w:tc>
        <w:tc>
          <w:tcPr>
            <w:tcW w:w="1830" w:type="dxa"/>
          </w:tcPr>
          <w:p w:rsidR="00555F15" w:rsidRDefault="00555F15">
            <w:pPr>
              <w:widowControl w:val="0"/>
              <w:autoSpaceDE w:val="0"/>
              <w:autoSpaceDN w:val="0"/>
              <w:adjustRightInd w:val="0"/>
              <w:jc w:val="center"/>
              <w:rPr>
                <w:rFonts w:ascii="Times New Roman CYR" w:hAnsi="Times New Roman CYR" w:cs="Times New Roman CYR"/>
                <w:sz w:val="24"/>
                <w:szCs w:val="24"/>
              </w:rPr>
            </w:pPr>
            <w:r>
              <w:rPr>
                <w:rFonts w:ascii="Times New Roman CYR" w:hAnsi="Times New Roman CYR" w:cs="Times New Roman CYR"/>
                <w:sz w:val="24"/>
                <w:szCs w:val="24"/>
              </w:rPr>
              <w:t>15</w:t>
            </w:r>
          </w:p>
        </w:tc>
      </w:tr>
      <w:tr w:rsidR="00555F15" w:rsidTr="00555F15">
        <w:tc>
          <w:tcPr>
            <w:tcW w:w="8755" w:type="dxa"/>
          </w:tcPr>
          <w:p w:rsidR="00555F15" w:rsidRDefault="00555F15" w:rsidP="00555F15">
            <w:pPr>
              <w:widowControl w:val="0"/>
              <w:autoSpaceDE w:val="0"/>
              <w:autoSpaceDN w:val="0"/>
              <w:adjustRightInd w:val="0"/>
              <w:rPr>
                <w:rFonts w:ascii="Times New Roman CYR" w:hAnsi="Times New Roman CYR" w:cs="Times New Roman CYR"/>
                <w:sz w:val="24"/>
                <w:szCs w:val="24"/>
              </w:rPr>
            </w:pPr>
            <w:r w:rsidRPr="00555F15">
              <w:rPr>
                <w:rFonts w:ascii="Times New Roman CYR" w:hAnsi="Times New Roman CYR" w:cs="Times New Roman CYR"/>
                <w:sz w:val="24"/>
                <w:szCs w:val="24"/>
              </w:rPr>
              <w:t>5. Участь в інших особах</w:t>
            </w:r>
          </w:p>
        </w:tc>
        <w:tc>
          <w:tcPr>
            <w:tcW w:w="1830" w:type="dxa"/>
          </w:tcPr>
          <w:p w:rsidR="00555F15" w:rsidRDefault="00555F15">
            <w:pPr>
              <w:widowControl w:val="0"/>
              <w:autoSpaceDE w:val="0"/>
              <w:autoSpaceDN w:val="0"/>
              <w:adjustRightInd w:val="0"/>
              <w:jc w:val="center"/>
              <w:rPr>
                <w:rFonts w:ascii="Times New Roman CYR" w:hAnsi="Times New Roman CYR" w:cs="Times New Roman CYR"/>
                <w:sz w:val="24"/>
                <w:szCs w:val="24"/>
              </w:rPr>
            </w:pPr>
            <w:r>
              <w:rPr>
                <w:rFonts w:ascii="Times New Roman CYR" w:hAnsi="Times New Roman CYR" w:cs="Times New Roman CYR"/>
                <w:sz w:val="24"/>
                <w:szCs w:val="24"/>
              </w:rPr>
              <w:t>28</w:t>
            </w:r>
          </w:p>
        </w:tc>
      </w:tr>
      <w:tr w:rsidR="00555F15" w:rsidTr="00555F15">
        <w:tc>
          <w:tcPr>
            <w:tcW w:w="8755" w:type="dxa"/>
          </w:tcPr>
          <w:p w:rsidR="00555F15" w:rsidRDefault="00555F15" w:rsidP="00555F15">
            <w:pPr>
              <w:widowControl w:val="0"/>
              <w:autoSpaceDE w:val="0"/>
              <w:autoSpaceDN w:val="0"/>
              <w:adjustRightInd w:val="0"/>
              <w:rPr>
                <w:rFonts w:ascii="Times New Roman CYR" w:hAnsi="Times New Roman CYR" w:cs="Times New Roman CYR"/>
                <w:sz w:val="24"/>
                <w:szCs w:val="24"/>
              </w:rPr>
            </w:pPr>
            <w:r w:rsidRPr="00555F15">
              <w:rPr>
                <w:rFonts w:ascii="Times New Roman CYR" w:hAnsi="Times New Roman CYR" w:cs="Times New Roman CYR"/>
                <w:sz w:val="24"/>
                <w:szCs w:val="24"/>
              </w:rPr>
              <w:t>II. Інформація щодо капіталу та цінних паперів</w:t>
            </w:r>
          </w:p>
        </w:tc>
        <w:tc>
          <w:tcPr>
            <w:tcW w:w="1830" w:type="dxa"/>
          </w:tcPr>
          <w:p w:rsidR="00555F15" w:rsidRDefault="00555F15">
            <w:pPr>
              <w:widowControl w:val="0"/>
              <w:autoSpaceDE w:val="0"/>
              <w:autoSpaceDN w:val="0"/>
              <w:adjustRightInd w:val="0"/>
              <w:jc w:val="center"/>
              <w:rPr>
                <w:rFonts w:ascii="Times New Roman CYR" w:hAnsi="Times New Roman CYR" w:cs="Times New Roman CYR"/>
                <w:sz w:val="24"/>
                <w:szCs w:val="24"/>
              </w:rPr>
            </w:pPr>
            <w:r>
              <w:rPr>
                <w:rFonts w:ascii="Times New Roman CYR" w:hAnsi="Times New Roman CYR" w:cs="Times New Roman CYR"/>
                <w:sz w:val="24"/>
                <w:szCs w:val="24"/>
              </w:rPr>
              <w:t>28</w:t>
            </w:r>
          </w:p>
        </w:tc>
      </w:tr>
      <w:tr w:rsidR="00555F15" w:rsidTr="00555F15">
        <w:tc>
          <w:tcPr>
            <w:tcW w:w="8755" w:type="dxa"/>
          </w:tcPr>
          <w:p w:rsidR="00555F15" w:rsidRDefault="00555F15" w:rsidP="00555F15">
            <w:pPr>
              <w:widowControl w:val="0"/>
              <w:autoSpaceDE w:val="0"/>
              <w:autoSpaceDN w:val="0"/>
              <w:adjustRightInd w:val="0"/>
              <w:rPr>
                <w:rFonts w:ascii="Times New Roman CYR" w:hAnsi="Times New Roman CYR" w:cs="Times New Roman CYR"/>
                <w:sz w:val="24"/>
                <w:szCs w:val="24"/>
              </w:rPr>
            </w:pPr>
            <w:r w:rsidRPr="00555F15">
              <w:rPr>
                <w:rFonts w:ascii="Times New Roman CYR" w:hAnsi="Times New Roman CYR" w:cs="Times New Roman CYR"/>
                <w:sz w:val="24"/>
                <w:szCs w:val="24"/>
              </w:rPr>
              <w:t>1. Цінні папери</w:t>
            </w:r>
          </w:p>
        </w:tc>
        <w:tc>
          <w:tcPr>
            <w:tcW w:w="1830" w:type="dxa"/>
          </w:tcPr>
          <w:p w:rsidR="00555F15" w:rsidRDefault="00555F15">
            <w:pPr>
              <w:widowControl w:val="0"/>
              <w:autoSpaceDE w:val="0"/>
              <w:autoSpaceDN w:val="0"/>
              <w:adjustRightInd w:val="0"/>
              <w:jc w:val="center"/>
              <w:rPr>
                <w:rFonts w:ascii="Times New Roman CYR" w:hAnsi="Times New Roman CYR" w:cs="Times New Roman CYR"/>
                <w:sz w:val="24"/>
                <w:szCs w:val="24"/>
              </w:rPr>
            </w:pPr>
            <w:r>
              <w:rPr>
                <w:rFonts w:ascii="Times New Roman CYR" w:hAnsi="Times New Roman CYR" w:cs="Times New Roman CYR"/>
                <w:sz w:val="24"/>
                <w:szCs w:val="24"/>
              </w:rPr>
              <w:t>28</w:t>
            </w:r>
          </w:p>
        </w:tc>
      </w:tr>
      <w:tr w:rsidR="00555F15" w:rsidTr="00555F15">
        <w:tc>
          <w:tcPr>
            <w:tcW w:w="8755" w:type="dxa"/>
          </w:tcPr>
          <w:p w:rsidR="00555F15" w:rsidRPr="00555F15" w:rsidRDefault="00555F15" w:rsidP="00555F15">
            <w:pPr>
              <w:widowControl w:val="0"/>
              <w:autoSpaceDE w:val="0"/>
              <w:autoSpaceDN w:val="0"/>
              <w:adjustRightInd w:val="0"/>
              <w:rPr>
                <w:rFonts w:ascii="Times New Roman CYR" w:hAnsi="Times New Roman CYR" w:cs="Times New Roman CYR"/>
                <w:sz w:val="24"/>
                <w:szCs w:val="24"/>
              </w:rPr>
            </w:pPr>
            <w:r w:rsidRPr="00555F15">
              <w:rPr>
                <w:rFonts w:ascii="Times New Roman CYR" w:hAnsi="Times New Roman CYR" w:cs="Times New Roman CYR"/>
                <w:sz w:val="24"/>
                <w:szCs w:val="24"/>
              </w:rPr>
              <w:t>III. Фінансова інформація</w:t>
            </w:r>
          </w:p>
        </w:tc>
        <w:tc>
          <w:tcPr>
            <w:tcW w:w="1830" w:type="dxa"/>
          </w:tcPr>
          <w:p w:rsidR="00555F15" w:rsidRDefault="00555F15">
            <w:pPr>
              <w:widowControl w:val="0"/>
              <w:autoSpaceDE w:val="0"/>
              <w:autoSpaceDN w:val="0"/>
              <w:adjustRightInd w:val="0"/>
              <w:jc w:val="center"/>
              <w:rPr>
                <w:rFonts w:ascii="Times New Roman CYR" w:hAnsi="Times New Roman CYR" w:cs="Times New Roman CYR"/>
                <w:sz w:val="24"/>
                <w:szCs w:val="24"/>
              </w:rPr>
            </w:pPr>
            <w:r>
              <w:rPr>
                <w:rFonts w:ascii="Times New Roman CYR" w:hAnsi="Times New Roman CYR" w:cs="Times New Roman CYR"/>
                <w:sz w:val="24"/>
                <w:szCs w:val="24"/>
              </w:rPr>
              <w:t>30</w:t>
            </w:r>
          </w:p>
        </w:tc>
      </w:tr>
      <w:tr w:rsidR="00555F15" w:rsidTr="00555F15">
        <w:tc>
          <w:tcPr>
            <w:tcW w:w="8755" w:type="dxa"/>
          </w:tcPr>
          <w:p w:rsidR="00555F15" w:rsidRPr="00555F15" w:rsidRDefault="00555F15" w:rsidP="00555F15">
            <w:pPr>
              <w:widowControl w:val="0"/>
              <w:autoSpaceDE w:val="0"/>
              <w:autoSpaceDN w:val="0"/>
              <w:adjustRightInd w:val="0"/>
              <w:rPr>
                <w:rFonts w:ascii="Times New Roman CYR" w:hAnsi="Times New Roman CYR" w:cs="Times New Roman CYR"/>
                <w:sz w:val="24"/>
                <w:szCs w:val="24"/>
              </w:rPr>
            </w:pPr>
            <w:r w:rsidRPr="00555F15">
              <w:rPr>
                <w:rFonts w:ascii="Times New Roman CYR" w:hAnsi="Times New Roman CYR" w:cs="Times New Roman CYR"/>
                <w:sz w:val="24"/>
                <w:szCs w:val="24"/>
              </w:rPr>
              <w:t>1. Проміжна фінансова звітність</w:t>
            </w:r>
          </w:p>
        </w:tc>
        <w:tc>
          <w:tcPr>
            <w:tcW w:w="1830" w:type="dxa"/>
          </w:tcPr>
          <w:p w:rsidR="00555F15" w:rsidRDefault="00555F15">
            <w:pPr>
              <w:widowControl w:val="0"/>
              <w:autoSpaceDE w:val="0"/>
              <w:autoSpaceDN w:val="0"/>
              <w:adjustRightInd w:val="0"/>
              <w:jc w:val="center"/>
              <w:rPr>
                <w:rFonts w:ascii="Times New Roman CYR" w:hAnsi="Times New Roman CYR" w:cs="Times New Roman CYR"/>
                <w:sz w:val="24"/>
                <w:szCs w:val="24"/>
              </w:rPr>
            </w:pPr>
            <w:r>
              <w:rPr>
                <w:rFonts w:ascii="Times New Roman CYR" w:hAnsi="Times New Roman CYR" w:cs="Times New Roman CYR"/>
                <w:sz w:val="24"/>
                <w:szCs w:val="24"/>
              </w:rPr>
              <w:t>30</w:t>
            </w:r>
          </w:p>
        </w:tc>
      </w:tr>
      <w:tr w:rsidR="00555F15" w:rsidTr="00555F15">
        <w:tc>
          <w:tcPr>
            <w:tcW w:w="8755" w:type="dxa"/>
          </w:tcPr>
          <w:p w:rsidR="00555F15" w:rsidRPr="00555F15" w:rsidRDefault="00555F15" w:rsidP="00555F15">
            <w:pPr>
              <w:widowControl w:val="0"/>
              <w:autoSpaceDE w:val="0"/>
              <w:autoSpaceDN w:val="0"/>
              <w:adjustRightInd w:val="0"/>
              <w:rPr>
                <w:rFonts w:ascii="Times New Roman CYR" w:hAnsi="Times New Roman CYR" w:cs="Times New Roman CYR"/>
                <w:sz w:val="24"/>
                <w:szCs w:val="24"/>
              </w:rPr>
            </w:pPr>
            <w:r w:rsidRPr="00555F15">
              <w:rPr>
                <w:rFonts w:ascii="Times New Roman CYR" w:hAnsi="Times New Roman CYR" w:cs="Times New Roman CYR"/>
                <w:sz w:val="24"/>
                <w:szCs w:val="24"/>
              </w:rPr>
              <w:t>3. Твердження щодо проміжної інформації</w:t>
            </w:r>
          </w:p>
        </w:tc>
        <w:tc>
          <w:tcPr>
            <w:tcW w:w="1830" w:type="dxa"/>
          </w:tcPr>
          <w:p w:rsidR="00555F15" w:rsidRDefault="00555F15">
            <w:pPr>
              <w:widowControl w:val="0"/>
              <w:autoSpaceDE w:val="0"/>
              <w:autoSpaceDN w:val="0"/>
              <w:adjustRightInd w:val="0"/>
              <w:jc w:val="center"/>
              <w:rPr>
                <w:rFonts w:ascii="Times New Roman CYR" w:hAnsi="Times New Roman CYR" w:cs="Times New Roman CYR"/>
                <w:sz w:val="24"/>
                <w:szCs w:val="24"/>
              </w:rPr>
            </w:pPr>
            <w:r>
              <w:rPr>
                <w:rFonts w:ascii="Times New Roman CYR" w:hAnsi="Times New Roman CYR" w:cs="Times New Roman CYR"/>
                <w:sz w:val="24"/>
                <w:szCs w:val="24"/>
              </w:rPr>
              <w:t>30</w:t>
            </w:r>
          </w:p>
        </w:tc>
      </w:tr>
      <w:tr w:rsidR="00555F15" w:rsidTr="00555F15">
        <w:tc>
          <w:tcPr>
            <w:tcW w:w="8755" w:type="dxa"/>
          </w:tcPr>
          <w:p w:rsidR="00555F15" w:rsidRPr="00555F15" w:rsidRDefault="00555F15" w:rsidP="00555F15">
            <w:pPr>
              <w:widowControl w:val="0"/>
              <w:autoSpaceDE w:val="0"/>
              <w:autoSpaceDN w:val="0"/>
              <w:adjustRightInd w:val="0"/>
              <w:rPr>
                <w:rFonts w:ascii="Times New Roman CYR" w:hAnsi="Times New Roman CYR" w:cs="Times New Roman CYR"/>
                <w:sz w:val="24"/>
                <w:szCs w:val="24"/>
              </w:rPr>
            </w:pPr>
            <w:r w:rsidRPr="00555F15">
              <w:rPr>
                <w:rFonts w:ascii="Times New Roman CYR" w:hAnsi="Times New Roman CYR" w:cs="Times New Roman CYR"/>
                <w:sz w:val="24"/>
                <w:szCs w:val="24"/>
              </w:rPr>
              <w:t>4. Значні правочини та правочини із заінтересованістю</w:t>
            </w:r>
          </w:p>
        </w:tc>
        <w:tc>
          <w:tcPr>
            <w:tcW w:w="1830" w:type="dxa"/>
          </w:tcPr>
          <w:p w:rsidR="00555F15" w:rsidRDefault="00555F15">
            <w:pPr>
              <w:widowControl w:val="0"/>
              <w:autoSpaceDE w:val="0"/>
              <w:autoSpaceDN w:val="0"/>
              <w:adjustRightInd w:val="0"/>
              <w:jc w:val="center"/>
              <w:rPr>
                <w:rFonts w:ascii="Times New Roman CYR" w:hAnsi="Times New Roman CYR" w:cs="Times New Roman CYR"/>
                <w:sz w:val="24"/>
                <w:szCs w:val="24"/>
              </w:rPr>
            </w:pPr>
            <w:r>
              <w:rPr>
                <w:rFonts w:ascii="Times New Roman CYR" w:hAnsi="Times New Roman CYR" w:cs="Times New Roman CYR"/>
                <w:sz w:val="24"/>
                <w:szCs w:val="24"/>
              </w:rPr>
              <w:t>30</w:t>
            </w:r>
          </w:p>
        </w:tc>
      </w:tr>
      <w:tr w:rsidR="00555F15" w:rsidTr="00555F15">
        <w:tc>
          <w:tcPr>
            <w:tcW w:w="8755" w:type="dxa"/>
          </w:tcPr>
          <w:p w:rsidR="00555F15" w:rsidRPr="00555F15" w:rsidRDefault="00555F15" w:rsidP="00555F15">
            <w:pPr>
              <w:widowControl w:val="0"/>
              <w:autoSpaceDE w:val="0"/>
              <w:autoSpaceDN w:val="0"/>
              <w:adjustRightInd w:val="0"/>
              <w:rPr>
                <w:rFonts w:ascii="Times New Roman CYR" w:hAnsi="Times New Roman CYR" w:cs="Times New Roman CYR"/>
                <w:sz w:val="24"/>
                <w:szCs w:val="24"/>
              </w:rPr>
            </w:pPr>
            <w:r w:rsidRPr="00555F15">
              <w:rPr>
                <w:rFonts w:ascii="Times New Roman CYR" w:hAnsi="Times New Roman CYR" w:cs="Times New Roman CYR"/>
                <w:sz w:val="24"/>
                <w:szCs w:val="24"/>
              </w:rPr>
              <w:t>IV. Нефінансова інформація</w:t>
            </w:r>
          </w:p>
        </w:tc>
        <w:tc>
          <w:tcPr>
            <w:tcW w:w="1830" w:type="dxa"/>
          </w:tcPr>
          <w:p w:rsidR="00555F15" w:rsidRDefault="00555F15">
            <w:pPr>
              <w:widowControl w:val="0"/>
              <w:autoSpaceDE w:val="0"/>
              <w:autoSpaceDN w:val="0"/>
              <w:adjustRightInd w:val="0"/>
              <w:jc w:val="center"/>
              <w:rPr>
                <w:rFonts w:ascii="Times New Roman CYR" w:hAnsi="Times New Roman CYR" w:cs="Times New Roman CYR"/>
                <w:sz w:val="24"/>
                <w:szCs w:val="24"/>
              </w:rPr>
            </w:pPr>
            <w:r>
              <w:rPr>
                <w:rFonts w:ascii="Times New Roman CYR" w:hAnsi="Times New Roman CYR" w:cs="Times New Roman CYR"/>
                <w:sz w:val="24"/>
                <w:szCs w:val="24"/>
              </w:rPr>
              <w:t>30</w:t>
            </w:r>
          </w:p>
        </w:tc>
      </w:tr>
      <w:tr w:rsidR="00555F15" w:rsidTr="00555F15">
        <w:tc>
          <w:tcPr>
            <w:tcW w:w="8755" w:type="dxa"/>
          </w:tcPr>
          <w:p w:rsidR="00555F15" w:rsidRPr="00555F15" w:rsidRDefault="00555F15" w:rsidP="00555F15">
            <w:pPr>
              <w:widowControl w:val="0"/>
              <w:autoSpaceDE w:val="0"/>
              <w:autoSpaceDN w:val="0"/>
              <w:adjustRightInd w:val="0"/>
              <w:rPr>
                <w:rFonts w:ascii="Times New Roman CYR" w:hAnsi="Times New Roman CYR" w:cs="Times New Roman CYR"/>
                <w:sz w:val="24"/>
                <w:szCs w:val="24"/>
              </w:rPr>
            </w:pPr>
            <w:r w:rsidRPr="00555F15">
              <w:rPr>
                <w:rFonts w:ascii="Times New Roman CYR" w:hAnsi="Times New Roman CYR" w:cs="Times New Roman CYR"/>
                <w:sz w:val="24"/>
                <w:szCs w:val="24"/>
              </w:rPr>
              <w:t>1. Проміжний звіт керівництва</w:t>
            </w:r>
          </w:p>
        </w:tc>
        <w:tc>
          <w:tcPr>
            <w:tcW w:w="1830" w:type="dxa"/>
          </w:tcPr>
          <w:p w:rsidR="00555F15" w:rsidRDefault="00555F15">
            <w:pPr>
              <w:widowControl w:val="0"/>
              <w:autoSpaceDE w:val="0"/>
              <w:autoSpaceDN w:val="0"/>
              <w:adjustRightInd w:val="0"/>
              <w:jc w:val="center"/>
              <w:rPr>
                <w:rFonts w:ascii="Times New Roman CYR" w:hAnsi="Times New Roman CYR" w:cs="Times New Roman CYR"/>
                <w:sz w:val="24"/>
                <w:szCs w:val="24"/>
              </w:rPr>
            </w:pPr>
            <w:r>
              <w:rPr>
                <w:rFonts w:ascii="Times New Roman CYR" w:hAnsi="Times New Roman CYR" w:cs="Times New Roman CYR"/>
                <w:sz w:val="24"/>
                <w:szCs w:val="24"/>
              </w:rPr>
              <w:t>30</w:t>
            </w:r>
          </w:p>
        </w:tc>
      </w:tr>
    </w:tbl>
    <w:p w:rsidR="00555F15" w:rsidRDefault="00555F15">
      <w:pPr>
        <w:widowControl w:val="0"/>
        <w:autoSpaceDE w:val="0"/>
        <w:autoSpaceDN w:val="0"/>
        <w:adjustRightInd w:val="0"/>
        <w:spacing w:after="0" w:line="240" w:lineRule="auto"/>
        <w:jc w:val="center"/>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sectPr w:rsidR="00000000">
          <w:pgSz w:w="12240" w:h="15840"/>
          <w:pgMar w:top="570" w:right="720" w:bottom="570" w:left="720" w:header="708" w:footer="708" w:gutter="0"/>
          <w:cols w:space="720"/>
          <w:noEndnote/>
        </w:sect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 Загальна інформація</w:t>
      </w:r>
    </w:p>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Ідентифікаційні дані та загальна інфо</w:t>
      </w:r>
      <w:r>
        <w:rPr>
          <w:rFonts w:ascii="Times New Roman CYR" w:hAnsi="Times New Roman CYR" w:cs="Times New Roman CYR"/>
          <w:b/>
          <w:bCs/>
          <w:i/>
          <w:iCs/>
          <w:sz w:val="24"/>
          <w:szCs w:val="24"/>
        </w:rPr>
        <w:t>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
        <w:gridCol w:w="3500"/>
        <w:gridCol w:w="6465"/>
      </w:tblGrid>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w:t>
            </w:r>
          </w:p>
        </w:tc>
        <w:tc>
          <w:tcPr>
            <w:tcW w:w="6465"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Приватне акцiонерне товариство "Єврокар"</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Скорочене найменування</w:t>
            </w:r>
          </w:p>
        </w:tc>
        <w:tc>
          <w:tcPr>
            <w:tcW w:w="6465"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ПрАТ "Єврокар"</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30913130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Дата державної реєстрації</w:t>
            </w:r>
          </w:p>
        </w:tc>
        <w:tc>
          <w:tcPr>
            <w:tcW w:w="6465"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14.04.2000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5</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Місцезнаходження</w:t>
            </w:r>
          </w:p>
        </w:tc>
        <w:tc>
          <w:tcPr>
            <w:tcW w:w="6465"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89460, Україна, Закарпатська обл., Ужгородський р-н р-н, с. Соломоново, вул.Перемоги, 46</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6</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Адреса для листування</w:t>
            </w:r>
          </w:p>
        </w:tc>
        <w:tc>
          <w:tcPr>
            <w:tcW w:w="6465"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7</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яка розкриває інформацію</w:t>
            </w:r>
          </w:p>
        </w:tc>
        <w:tc>
          <w:tcPr>
            <w:tcW w:w="6465"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Емітент</w:t>
            </w:r>
          </w:p>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Особа, яка надає забезпечення</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8</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має статус підприємства, що становить суспільний інтерес</w:t>
            </w:r>
          </w:p>
        </w:tc>
        <w:tc>
          <w:tcPr>
            <w:tcW w:w="6465"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Так</w:t>
            </w:r>
          </w:p>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Ні</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9</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Категорія підприємства</w:t>
            </w:r>
          </w:p>
        </w:tc>
        <w:tc>
          <w:tcPr>
            <w:tcW w:w="6465"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Велике</w:t>
            </w:r>
          </w:p>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Середнє</w:t>
            </w:r>
          </w:p>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Мале</w:t>
            </w:r>
          </w:p>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Мікро</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10</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Адреса електронної пошти для офіційного каналу зв'язку</w:t>
            </w:r>
          </w:p>
        </w:tc>
        <w:tc>
          <w:tcPr>
            <w:tcW w:w="6465"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eurocar@eurocar.ua</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11</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Адреса вебсайту</w:t>
            </w:r>
          </w:p>
        </w:tc>
        <w:tc>
          <w:tcPr>
            <w:tcW w:w="6465"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https://www.skoda-auto.ua/</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12</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Номер телефону</w:t>
            </w:r>
          </w:p>
        </w:tc>
        <w:tc>
          <w:tcPr>
            <w:tcW w:w="6465"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(0312) 646130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13</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Статутний капітал, грн</w:t>
            </w:r>
          </w:p>
        </w:tc>
        <w:tc>
          <w:tcPr>
            <w:tcW w:w="6465"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234475796</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14</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Відсоток акцій (часток/паїв) у статутному капіталі, що належить державі</w:t>
            </w:r>
          </w:p>
        </w:tc>
        <w:tc>
          <w:tcPr>
            <w:tcW w:w="6465"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15</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6465"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16</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Середня кількість працівників за звітний період</w:t>
            </w:r>
          </w:p>
        </w:tc>
        <w:tc>
          <w:tcPr>
            <w:tcW w:w="6465"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267</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17</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Основні види діяльності із зазначенням їх найменування та коду за КВЕД</w:t>
            </w:r>
          </w:p>
        </w:tc>
        <w:tc>
          <w:tcPr>
            <w:tcW w:w="6465"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29.10 - Виробництво автотранспортних засобiв</w:t>
            </w:r>
          </w:p>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33.20 - Установлення та монтаж машин та устаткування</w:t>
            </w:r>
          </w:p>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29.32 - Виробництво iнших вузлiв, деталей i приладдя для автотранспортних засобiв</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18</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Структура управління особи</w:t>
            </w:r>
          </w:p>
        </w:tc>
        <w:tc>
          <w:tcPr>
            <w:tcW w:w="6465"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Однорівнева</w:t>
            </w:r>
          </w:p>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Дворівнева</w:t>
            </w:r>
          </w:p>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Інше</w:t>
            </w:r>
          </w:p>
        </w:tc>
      </w:tr>
    </w:tbl>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Банки, що обслуговують особу: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
        <w:gridCol w:w="3500"/>
        <w:gridCol w:w="6465"/>
      </w:tblGrid>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"Укргазбанк"</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23697280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UA273204780000000000260042669</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гривня</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"Укргазбанк"</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23697280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UA273204780000000000260042669</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долар США</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"Укргазбанк"</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23697280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UA273204780000000000260042669</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євро</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"Укргазбанк"</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23697280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UA833204780000026005924860925</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гривня</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5</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"Укргазбанк"</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23697280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UA833204780000026005924860925</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долар США</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6</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"Укргазбанк"</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23697280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UA833204780000026005924860925</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євро</w:t>
            </w:r>
          </w:p>
        </w:tc>
      </w:tr>
    </w:tbl>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p>
    <w:p w:rsidR="00555F15" w:rsidRDefault="00555F15">
      <w:pPr>
        <w:widowControl w:val="0"/>
        <w:autoSpaceDE w:val="0"/>
        <w:autoSpaceDN w:val="0"/>
        <w:adjustRightInd w:val="0"/>
        <w:spacing w:after="0" w:line="240" w:lineRule="auto"/>
        <w:rPr>
          <w:rFonts w:ascii="Times New Roman CYR" w:hAnsi="Times New Roman CYR" w:cs="Times New Roman CYR"/>
          <w:b/>
          <w:bCs/>
          <w:i/>
          <w:iCs/>
          <w:sz w:val="24"/>
          <w:szCs w:val="24"/>
        </w:rPr>
      </w:pPr>
    </w:p>
    <w:p w:rsidR="00555F15" w:rsidRDefault="00555F15">
      <w:pPr>
        <w:widowControl w:val="0"/>
        <w:autoSpaceDE w:val="0"/>
        <w:autoSpaceDN w:val="0"/>
        <w:adjustRightInd w:val="0"/>
        <w:spacing w:after="0" w:line="240" w:lineRule="auto"/>
        <w:rPr>
          <w:rFonts w:ascii="Times New Roman CYR" w:hAnsi="Times New Roman CYR" w:cs="Times New Roman CYR"/>
          <w:b/>
          <w:bCs/>
          <w:i/>
          <w:iCs/>
          <w:sz w:val="24"/>
          <w:szCs w:val="24"/>
        </w:rPr>
      </w:pPr>
    </w:p>
    <w:p w:rsidR="00555F15" w:rsidRDefault="00555F15">
      <w:pPr>
        <w:widowControl w:val="0"/>
        <w:autoSpaceDE w:val="0"/>
        <w:autoSpaceDN w:val="0"/>
        <w:adjustRightInd w:val="0"/>
        <w:spacing w:after="0" w:line="240" w:lineRule="auto"/>
        <w:rPr>
          <w:rFonts w:ascii="Times New Roman CYR" w:hAnsi="Times New Roman CYR" w:cs="Times New Roman CYR"/>
          <w:b/>
          <w:bCs/>
          <w:i/>
          <w:iCs/>
          <w:sz w:val="24"/>
          <w:szCs w:val="24"/>
        </w:rPr>
      </w:pPr>
    </w:p>
    <w:p w:rsidR="00555F15" w:rsidRDefault="00555F15">
      <w:pPr>
        <w:widowControl w:val="0"/>
        <w:autoSpaceDE w:val="0"/>
        <w:autoSpaceDN w:val="0"/>
        <w:adjustRightInd w:val="0"/>
        <w:spacing w:after="0" w:line="240" w:lineRule="auto"/>
        <w:rPr>
          <w:rFonts w:ascii="Times New Roman CYR" w:hAnsi="Times New Roman CYR" w:cs="Times New Roman CYR"/>
          <w:b/>
          <w:bCs/>
          <w:i/>
          <w:iCs/>
          <w:sz w:val="24"/>
          <w:szCs w:val="24"/>
        </w:rPr>
      </w:pPr>
    </w:p>
    <w:p w:rsidR="00555F15" w:rsidRDefault="00555F15">
      <w:pPr>
        <w:widowControl w:val="0"/>
        <w:autoSpaceDE w:val="0"/>
        <w:autoSpaceDN w:val="0"/>
        <w:adjustRightInd w:val="0"/>
        <w:spacing w:after="0" w:line="240" w:lineRule="auto"/>
        <w:rPr>
          <w:rFonts w:ascii="Times New Roman CYR" w:hAnsi="Times New Roman CYR" w:cs="Times New Roman CYR"/>
          <w:b/>
          <w:bCs/>
          <w:i/>
          <w:iCs/>
          <w:sz w:val="24"/>
          <w:szCs w:val="24"/>
        </w:rPr>
      </w:pPr>
    </w:p>
    <w:p w:rsidR="00555F15" w:rsidRDefault="00555F15">
      <w:pPr>
        <w:widowControl w:val="0"/>
        <w:autoSpaceDE w:val="0"/>
        <w:autoSpaceDN w:val="0"/>
        <w:adjustRightInd w:val="0"/>
        <w:spacing w:after="0" w:line="240" w:lineRule="auto"/>
        <w:rPr>
          <w:rFonts w:ascii="Times New Roman CYR" w:hAnsi="Times New Roman CYR" w:cs="Times New Roman CYR"/>
          <w:b/>
          <w:bCs/>
          <w:i/>
          <w:iCs/>
          <w:sz w:val="24"/>
          <w:szCs w:val="24"/>
        </w:rPr>
      </w:pPr>
    </w:p>
    <w:p w:rsidR="00555F15" w:rsidRDefault="00555F15">
      <w:pPr>
        <w:widowControl w:val="0"/>
        <w:autoSpaceDE w:val="0"/>
        <w:autoSpaceDN w:val="0"/>
        <w:adjustRightInd w:val="0"/>
        <w:spacing w:after="0" w:line="240" w:lineRule="auto"/>
        <w:rPr>
          <w:rFonts w:ascii="Times New Roman CYR" w:hAnsi="Times New Roman CYR" w:cs="Times New Roman CYR"/>
          <w:b/>
          <w:bCs/>
          <w:i/>
          <w:iCs/>
          <w:sz w:val="24"/>
          <w:szCs w:val="24"/>
        </w:rPr>
      </w:pPr>
    </w:p>
    <w:p w:rsidR="00555F15" w:rsidRDefault="00555F15">
      <w:pPr>
        <w:widowControl w:val="0"/>
        <w:autoSpaceDE w:val="0"/>
        <w:autoSpaceDN w:val="0"/>
        <w:adjustRightInd w:val="0"/>
        <w:spacing w:after="0" w:line="240" w:lineRule="auto"/>
        <w:rPr>
          <w:rFonts w:ascii="Times New Roman CYR" w:hAnsi="Times New Roman CYR" w:cs="Times New Roman CYR"/>
          <w:b/>
          <w:bCs/>
          <w:i/>
          <w:iCs/>
          <w:sz w:val="24"/>
          <w:szCs w:val="24"/>
        </w:rPr>
      </w:pPr>
    </w:p>
    <w:p w:rsidR="00555F15" w:rsidRDefault="00555F15">
      <w:pPr>
        <w:widowControl w:val="0"/>
        <w:autoSpaceDE w:val="0"/>
        <w:autoSpaceDN w:val="0"/>
        <w:adjustRightInd w:val="0"/>
        <w:spacing w:after="0" w:line="240" w:lineRule="auto"/>
        <w:rPr>
          <w:rFonts w:ascii="Times New Roman CYR" w:hAnsi="Times New Roman CYR" w:cs="Times New Roman CYR"/>
          <w:b/>
          <w:bCs/>
          <w:i/>
          <w:iCs/>
          <w:sz w:val="24"/>
          <w:szCs w:val="24"/>
        </w:rPr>
      </w:pPr>
    </w:p>
    <w:p w:rsidR="00555F15" w:rsidRDefault="00555F15">
      <w:pPr>
        <w:widowControl w:val="0"/>
        <w:autoSpaceDE w:val="0"/>
        <w:autoSpaceDN w:val="0"/>
        <w:adjustRightInd w:val="0"/>
        <w:spacing w:after="0" w:line="240" w:lineRule="auto"/>
        <w:rPr>
          <w:rFonts w:ascii="Times New Roman CYR" w:hAnsi="Times New Roman CYR" w:cs="Times New Roman CYR"/>
          <w:b/>
          <w:bCs/>
          <w:i/>
          <w:iCs/>
          <w:sz w:val="24"/>
          <w:szCs w:val="24"/>
        </w:rPr>
      </w:pPr>
    </w:p>
    <w:p w:rsidR="00555F15" w:rsidRDefault="00555F15">
      <w:pPr>
        <w:widowControl w:val="0"/>
        <w:autoSpaceDE w:val="0"/>
        <w:autoSpaceDN w:val="0"/>
        <w:adjustRightInd w:val="0"/>
        <w:spacing w:after="0" w:line="240" w:lineRule="auto"/>
        <w:rPr>
          <w:rFonts w:ascii="Times New Roman CYR" w:hAnsi="Times New Roman CYR" w:cs="Times New Roman CYR"/>
          <w:b/>
          <w:bCs/>
          <w:i/>
          <w:iCs/>
          <w:sz w:val="24"/>
          <w:szCs w:val="24"/>
        </w:rPr>
      </w:pPr>
    </w:p>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lastRenderedPageBreak/>
        <w:t>2. Органи управління та посадові особи. Організаційна структура</w:t>
      </w:r>
    </w:p>
    <w:p w:rsidR="00000000" w:rsidRDefault="00BB1AB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Органи управління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1450"/>
        <w:gridCol w:w="4000"/>
        <w:gridCol w:w="4000"/>
      </w:tblGrid>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Назва органу управління (контролю)</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Кількісний склад органу управління (контролю)</w:t>
            </w:r>
          </w:p>
        </w:tc>
        <w:tc>
          <w:tcPr>
            <w:tcW w:w="4000"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Персональний склад органу управління (контролю)</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4000"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Загальнi збори</w:t>
            </w:r>
          </w:p>
        </w:tc>
        <w:tc>
          <w:tcPr>
            <w:tcW w:w="400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(чотири) акцiонери</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акцiонери згiдно з реєстром власникiв iменних цiнних паперiв</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45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Наглядова рада</w:t>
            </w:r>
          </w:p>
        </w:tc>
        <w:tc>
          <w:tcPr>
            <w:tcW w:w="400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(п'ять)</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Голова Наглядової Ради - Вiнфрiд Фаланд</w:t>
            </w:r>
          </w:p>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Заступник Голови Наглядової Ради - Панов Володимир Олексiйович</w:t>
            </w:r>
          </w:p>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Члени наглядової ради: Чернобай Дмитро Михайлович, Боярин Петро Iллiч, Боярин Вiктор Олегович</w:t>
            </w:r>
          </w:p>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45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Одноосiбний виконавчий орган - генеральний</w:t>
            </w:r>
            <w:r>
              <w:rPr>
                <w:rFonts w:ascii="Times New Roman CYR" w:hAnsi="Times New Roman CYR" w:cs="Times New Roman CYR"/>
              </w:rPr>
              <w:t xml:space="preserve"> директор</w:t>
            </w:r>
          </w:p>
        </w:tc>
        <w:tc>
          <w:tcPr>
            <w:tcW w:w="400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(один)</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Боярин Олег Петрович - генеральний директор, голова комiсiї з припинення</w:t>
            </w:r>
          </w:p>
        </w:tc>
      </w:tr>
    </w:tbl>
    <w:p w:rsidR="00000000" w:rsidRDefault="00BB1AB6">
      <w:pPr>
        <w:widowControl w:val="0"/>
        <w:autoSpaceDE w:val="0"/>
        <w:autoSpaceDN w:val="0"/>
        <w:adjustRightInd w:val="0"/>
        <w:spacing w:after="0" w:line="240" w:lineRule="auto"/>
        <w:rPr>
          <w:rFonts w:ascii="Times New Roman CYR" w:hAnsi="Times New Roman CYR" w:cs="Times New Roman CYR"/>
        </w:rPr>
      </w:pPr>
    </w:p>
    <w:p w:rsidR="00000000" w:rsidRDefault="00BB1AB6">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щодо посадових осіб</w:t>
      </w:r>
    </w:p>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Рада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2050"/>
        <w:gridCol w:w="2100"/>
        <w:gridCol w:w="1100"/>
        <w:gridCol w:w="800"/>
        <w:gridCol w:w="1000"/>
        <w:gridCol w:w="1000"/>
        <w:gridCol w:w="900"/>
        <w:gridCol w:w="3100"/>
        <w:gridCol w:w="1400"/>
        <w:gridCol w:w="1400"/>
      </w:tblGrid>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Стаж роботи (років)</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Повне найменування, ідентифікаційний код юридичної особи та посада, яку займав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Непогашена судимість за корисливі та посадові злочини (Так/Ні)</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11</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Голова Наглядової Ради (представник акцiонера)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Вiнфрiд Фаланд</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1957</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41</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Volvo Car Corporation (Швецiя)</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556074-3089</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Ради директорiв;</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Eldor Corporation S.p.A., 02390960132 - голова наглядової ради;</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Proton Holdings Berhad , 200301020757 (623177-A) - член наглядової ради;</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Vibracoustic AG (Registration No. HRB 98601), DE813973055 - член наглядової ради;</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Polestar Automotive Holding UK PLC, 13624182,  директор (член) ради директорiв, голова ради директо</w:t>
            </w:r>
            <w:r>
              <w:rPr>
                <w:rFonts w:ascii="Times New Roman CYR" w:hAnsi="Times New Roman CYR" w:cs="Times New Roman CYR"/>
                <w:sz w:val="20"/>
                <w:szCs w:val="20"/>
              </w:rPr>
              <w:t>рiв</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07.05.2024</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роки, до переобрання</w:t>
            </w:r>
          </w:p>
        </w:tc>
        <w:tc>
          <w:tcPr>
            <w:tcW w:w="1400"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Заступник Голови Наглядової Ради (представник акцiонера)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Панов Володимир Олексiйович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1958</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50</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Приватне акцiонерне товариство "Єврокар",</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30913130</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ТОВАРИСТВО З </w:t>
            </w:r>
            <w:r>
              <w:rPr>
                <w:rFonts w:ascii="Times New Roman CYR" w:hAnsi="Times New Roman CYR" w:cs="Times New Roman CYR"/>
                <w:sz w:val="20"/>
                <w:szCs w:val="20"/>
              </w:rPr>
              <w:lastRenderedPageBreak/>
              <w:t>ОБМЕЖЕНОЮ ВIДПОВIДАЛЬНIСТЮ "СТС",  32784440, директор;</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"СЕЗПАРКСЕРВIС"  34676141, директор;</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"ВIКО-СПОРТ" 22081542, директор;</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Обласна федерацiя роботодавцiв Зака</w:t>
            </w:r>
            <w:r>
              <w:rPr>
                <w:rFonts w:ascii="Times New Roman CYR" w:hAnsi="Times New Roman CYR" w:cs="Times New Roman CYR"/>
                <w:sz w:val="20"/>
                <w:szCs w:val="20"/>
              </w:rPr>
              <w:t>рпаття, 38015500, голова органiзацiї роботодавцiв;</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"Обласне об'єднання роботодавцiв Закарпаття", 26464101, голова об'єднання роботодавцiв;</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Закарпатська обласна органiзацiя машинобудування, 38369635, голова органiзацiї;</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Обласна органiзацiя рекреацiї та т</w:t>
            </w:r>
            <w:r>
              <w:rPr>
                <w:rFonts w:ascii="Times New Roman CYR" w:hAnsi="Times New Roman CYR" w:cs="Times New Roman CYR"/>
                <w:sz w:val="20"/>
                <w:szCs w:val="20"/>
              </w:rPr>
              <w:t>уризму Закарпаття, 38369640, голова органiзацiї;</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Благодiйний фонд "Фонд стратегiчних дослiджень", 25444883, директор;</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Благодiйний фонд "Карпатський Єврорегiон", 22114974, директор;</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Товариство з обмеженою </w:t>
            </w:r>
            <w:r>
              <w:rPr>
                <w:rFonts w:ascii="Times New Roman CYR" w:hAnsi="Times New Roman CYR" w:cs="Times New Roman CYR"/>
                <w:sz w:val="20"/>
                <w:szCs w:val="20"/>
              </w:rPr>
              <w:lastRenderedPageBreak/>
              <w:t>вiдповiдальнiстю "СОЛОМОНОВО ДЕВЕЛОПМЕНТ ПАРК", 4</w:t>
            </w:r>
            <w:r>
              <w:rPr>
                <w:rFonts w:ascii="Times New Roman CYR" w:hAnsi="Times New Roman CYR" w:cs="Times New Roman CYR"/>
                <w:sz w:val="20"/>
                <w:szCs w:val="20"/>
              </w:rPr>
              <w:t>5230861, директор</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07.05.2024</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роки</w:t>
            </w:r>
          </w:p>
        </w:tc>
        <w:tc>
          <w:tcPr>
            <w:tcW w:w="1400"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3</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 (представник акцiонера)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Чернобай Дмитро Михайлович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1966</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33</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Приватне акцiонерне товариство "Єврокар"</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30913130</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"ЄВРОКАР",  32384621, член наглядової ради.</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07.05.2024</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роки</w:t>
            </w:r>
          </w:p>
        </w:tc>
        <w:tc>
          <w:tcPr>
            <w:tcW w:w="1400"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 (представник акцiонера)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Боярин Петро Iллiч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1950</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61</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Приватне акцiонерне товариство "Єврокар"</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30913130</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"Академiя", 21545293, директор;</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Приватне акцiонерне товариство "Автотрейдiнг Iнвест", 31106821, генеральний директор</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07.05.2024</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роки</w:t>
            </w:r>
          </w:p>
        </w:tc>
        <w:tc>
          <w:tcPr>
            <w:tcW w:w="1400"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 (представник акцiонера)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Боярин Вiктор Олегович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1997</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"Американська легенда"</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3360053</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директор;</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ДОЧIРНЄ ПIДПРИЄМСТВО "Мототрейдiнг Київ", 31904127, директор;</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ДОЧIРНЄ ПIДПРИЄМСТВО "Мототрейдiнг Днiпро", 32312667, директор;</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"Американська свобода", директор;</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"Єврокар Сервiс", 20058711, член наглядової ради;</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"Єврокар", 32384621, фахiвець з iнновацiйної дiяль</w:t>
            </w:r>
            <w:r>
              <w:rPr>
                <w:rFonts w:ascii="Times New Roman CYR" w:hAnsi="Times New Roman CYR" w:cs="Times New Roman CYR"/>
                <w:sz w:val="20"/>
                <w:szCs w:val="20"/>
              </w:rPr>
              <w:t>ностi</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07.05.2024</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роки</w:t>
            </w:r>
          </w:p>
        </w:tc>
        <w:tc>
          <w:tcPr>
            <w:tcW w:w="1400"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r>
    </w:tbl>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Виконавчий орган</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2050"/>
        <w:gridCol w:w="2100"/>
        <w:gridCol w:w="1100"/>
        <w:gridCol w:w="800"/>
        <w:gridCol w:w="1000"/>
        <w:gridCol w:w="1000"/>
        <w:gridCol w:w="900"/>
        <w:gridCol w:w="3100"/>
        <w:gridCol w:w="1400"/>
        <w:gridCol w:w="1400"/>
      </w:tblGrid>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Стаж роботи (років)</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Повне найменування, ідентифікаційний код юридичної особи та посада, яку займав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Непогашена судимість за корисливі та посадові злочини (Так/Ні)</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11</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Генеральний директор, Голова комiсiї з припинення</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Боярин Олег Петрович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1971</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30</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Приватне акцiонерне товариство "Єврокар",</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30913130</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Заступник Голови Наглядової Ради;</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"ЄВРОКАР", 32384621, голова наглядової ради;</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ТОВАРИСТВО З </w:t>
            </w:r>
            <w:r>
              <w:rPr>
                <w:rFonts w:ascii="Times New Roman CYR" w:hAnsi="Times New Roman CYR" w:cs="Times New Roman CYR"/>
                <w:sz w:val="20"/>
                <w:szCs w:val="20"/>
              </w:rPr>
              <w:lastRenderedPageBreak/>
              <w:t>ОБМЕЖЕНОЮ ВIДПОВIДАЛЬНIСТЮ "Атолл Холдiнг", 31237888, директор;</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Приват</w:t>
            </w:r>
            <w:r>
              <w:rPr>
                <w:rFonts w:ascii="Times New Roman CYR" w:hAnsi="Times New Roman CYR" w:cs="Times New Roman CYR"/>
                <w:sz w:val="20"/>
                <w:szCs w:val="20"/>
              </w:rPr>
              <w:t>не акцiонерне товариство "Автотрейдiнг Iнвест", 31106821, голова наглядової ради;</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Приватне акцiонерне товариство "МТ Консалтiнг", 31167727, голова наглядової ради;</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"ЄВРОКАР СЕРВIС", 20058711, голова наглядової ради</w:t>
            </w:r>
            <w:r>
              <w:rPr>
                <w:rFonts w:ascii="Times New Roman CYR" w:hAnsi="Times New Roman CYR" w:cs="Times New Roman CYR"/>
                <w:sz w:val="20"/>
                <w:szCs w:val="20"/>
              </w:rPr>
              <w:t>;</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"АВТОТРЕЙДIНГ АТОЛЛ ГРУП", 35755339, директор, голова наглядової ради, член наглядової ради</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Рiчними загальними зборами акцiонерiв, якi були проведенi дистанцiйно 21.04.2025, прийнято рiшення про створення комiсiї</w:t>
            </w:r>
            <w:r>
              <w:rPr>
                <w:rFonts w:ascii="Times New Roman CYR" w:hAnsi="Times New Roman CYR" w:cs="Times New Roman CYR"/>
                <w:sz w:val="20"/>
                <w:szCs w:val="20"/>
              </w:rPr>
              <w:t xml:space="preserve"> з припинення та обрано Боярина О.П. головою комiсiї з припинення строком до закiнчення процедури перетворення</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01.10.2024</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30.09.2025 (включно)</w:t>
            </w:r>
          </w:p>
        </w:tc>
        <w:tc>
          <w:tcPr>
            <w:tcW w:w="1400"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r>
    </w:tbl>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Інші посадові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2050"/>
        <w:gridCol w:w="2100"/>
        <w:gridCol w:w="1100"/>
        <w:gridCol w:w="800"/>
        <w:gridCol w:w="1000"/>
        <w:gridCol w:w="1000"/>
        <w:gridCol w:w="900"/>
        <w:gridCol w:w="3100"/>
        <w:gridCol w:w="1400"/>
        <w:gridCol w:w="1400"/>
      </w:tblGrid>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Стаж роботи (років)</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Повне найменування, ідентифікаційний код юридичної особи та посада, яку займав за </w:t>
            </w:r>
            <w:r>
              <w:rPr>
                <w:rFonts w:ascii="Times New Roman CYR" w:hAnsi="Times New Roman CYR" w:cs="Times New Roman CYR"/>
                <w:sz w:val="20"/>
                <w:szCs w:val="20"/>
              </w:rPr>
              <w:lastRenderedPageBreak/>
              <w:t>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 xml:space="preserve">Дата набуття повноважень та строк, на </w:t>
            </w:r>
            <w:r>
              <w:rPr>
                <w:rFonts w:ascii="Times New Roman CYR" w:hAnsi="Times New Roman CYR" w:cs="Times New Roman CYR"/>
                <w:sz w:val="20"/>
                <w:szCs w:val="20"/>
              </w:rPr>
              <w:lastRenderedPageBreak/>
              <w:t>який обрано</w:t>
            </w:r>
          </w:p>
        </w:tc>
        <w:tc>
          <w:tcPr>
            <w:tcW w:w="1400"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 xml:space="preserve">Непогашена судимість за корисливі та </w:t>
            </w:r>
            <w:r>
              <w:rPr>
                <w:rFonts w:ascii="Times New Roman CYR" w:hAnsi="Times New Roman CYR" w:cs="Times New Roman CYR"/>
                <w:sz w:val="20"/>
                <w:szCs w:val="20"/>
              </w:rPr>
              <w:lastRenderedPageBreak/>
              <w:t>посадові злочини (Так/Ні)</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11</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Корпоративний секретар</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Бiлькiн Олег Сергiйович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1983</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24</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Приватне акцiонерне товариство "Єврокар",</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30913130,</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начальник юридичного вiддiлу, </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"СТС", 32784440, директор;</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"СОЛОМОНОВО ДЕВЕЛОПМЕНТ ПАРК", 45230861, начальник юридичного вiддiлу</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22.04.2025</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 рiк</w:t>
            </w:r>
          </w:p>
        </w:tc>
        <w:tc>
          <w:tcPr>
            <w:tcW w:w="1400"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комiсiї з припинення</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Iванчук Григорiй Володимирович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1969</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30</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Приватне акцiонерне товариство "Єврокар",</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30913130</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заступник директора з виробництва, заступник генерального директора;</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Товаристиво з обмеженою вiдповiдальнiстю "ЄВРОАВТОТЕК", 32784482, директор;</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"ЄВРОМОТОР", 32784456, директор;</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Органiзацiї роботодавцiв "</w:t>
            </w:r>
            <w:r>
              <w:rPr>
                <w:rFonts w:ascii="Times New Roman CYR" w:hAnsi="Times New Roman CYR" w:cs="Times New Roman CYR"/>
                <w:sz w:val="20"/>
                <w:szCs w:val="20"/>
              </w:rPr>
              <w:t xml:space="preserve">ЗАКАРПАТСЬКА ОБЛАСНА ОРГАНIЗАЦIЯ У СФЕРI </w:t>
            </w:r>
            <w:r>
              <w:rPr>
                <w:rFonts w:ascii="Times New Roman CYR" w:hAnsi="Times New Roman CYR" w:cs="Times New Roman CYR"/>
                <w:sz w:val="20"/>
                <w:szCs w:val="20"/>
              </w:rPr>
              <w:lastRenderedPageBreak/>
              <w:t>АВТОМОБIЛЕБУДУВАННЯ", 38414939, голова (голова правлiння за посадою)</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25.04.2025</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до закiнчення процедури перетворення</w:t>
            </w:r>
          </w:p>
        </w:tc>
        <w:tc>
          <w:tcPr>
            <w:tcW w:w="1400"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r>
    </w:tbl>
    <w:p w:rsidR="00000000" w:rsidRDefault="00BB1AB6">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щодо корпоративного секретаря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350"/>
        <w:gridCol w:w="2250"/>
        <w:gridCol w:w="1300"/>
        <w:gridCol w:w="1300"/>
        <w:gridCol w:w="1200"/>
        <w:gridCol w:w="4700"/>
        <w:gridCol w:w="1400"/>
        <w:gridCol w:w="1900"/>
      </w:tblGrid>
      <w:tr w:rsidR="00000000">
        <w:tblPrEx>
          <w:tblCellMar>
            <w:top w:w="0" w:type="dxa"/>
            <w:bottom w:w="0" w:type="dxa"/>
          </w:tblCellMar>
        </w:tblPrEx>
        <w:trPr>
          <w:trHeight w:val="200"/>
        </w:trPr>
        <w:tc>
          <w:tcPr>
            <w:tcW w:w="135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 призначення на посаду</w:t>
            </w:r>
          </w:p>
        </w:tc>
        <w:tc>
          <w:tcPr>
            <w:tcW w:w="225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Ім'я</w:t>
            </w:r>
          </w:p>
        </w:tc>
        <w:tc>
          <w:tcPr>
            <w:tcW w:w="13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РНОКПП</w:t>
            </w:r>
          </w:p>
        </w:tc>
        <w:tc>
          <w:tcPr>
            <w:tcW w:w="13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УНЗР</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Стаж роботи (років)</w:t>
            </w:r>
          </w:p>
        </w:tc>
        <w:tc>
          <w:tcPr>
            <w:tcW w:w="47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Повне найменування, ідентифікаційний код юридичної особи та посада, яку займав</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Непогашена судимість за корисливі та посадові злочини</w:t>
            </w:r>
          </w:p>
        </w:tc>
        <w:tc>
          <w:tcPr>
            <w:tcW w:w="1900"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Контактні дані (телефон та адреса електронної пошти корпоративного секретаря)</w:t>
            </w:r>
          </w:p>
        </w:tc>
      </w:tr>
      <w:tr w:rsidR="00000000">
        <w:tblPrEx>
          <w:tblCellMar>
            <w:top w:w="0" w:type="dxa"/>
            <w:bottom w:w="0" w:type="dxa"/>
          </w:tblCellMar>
        </w:tblPrEx>
        <w:trPr>
          <w:trHeight w:val="200"/>
        </w:trPr>
        <w:tc>
          <w:tcPr>
            <w:tcW w:w="135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25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13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13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47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1900"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r>
      <w:tr w:rsidR="00000000">
        <w:tblPrEx>
          <w:tblCellMar>
            <w:top w:w="0" w:type="dxa"/>
            <w:bottom w:w="0" w:type="dxa"/>
          </w:tblCellMar>
        </w:tblPrEx>
        <w:trPr>
          <w:trHeight w:val="200"/>
        </w:trPr>
        <w:tc>
          <w:tcPr>
            <w:tcW w:w="135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18.04.2025</w:t>
            </w:r>
          </w:p>
        </w:tc>
        <w:tc>
          <w:tcPr>
            <w:tcW w:w="225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Олег Сергiйович Бiлькiн</w:t>
            </w:r>
          </w:p>
        </w:tc>
        <w:tc>
          <w:tcPr>
            <w:tcW w:w="13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3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24</w:t>
            </w:r>
          </w:p>
        </w:tc>
        <w:tc>
          <w:tcPr>
            <w:tcW w:w="47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Приватне акцiонерне товариство "Єврокар"</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30913130</w:t>
            </w:r>
          </w:p>
          <w:p w:rsidR="00555F15"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нальчник юридичного вiддiлу, </w:t>
            </w:r>
          </w:p>
          <w:p w:rsidR="00555F15"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Товариство з обмеженою вiдповiдальнiстю "СТС", 32784440, Директор; </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Товариство з </w:t>
            </w:r>
            <w:r>
              <w:rPr>
                <w:rFonts w:ascii="Times New Roman CYR" w:hAnsi="Times New Roman CYR" w:cs="Times New Roman CYR"/>
                <w:sz w:val="20"/>
                <w:szCs w:val="20"/>
              </w:rPr>
              <w:t>обмеженою вiдповiдальнiстю "СОЛОМОНОВО ДЕВЕЛОПМЕНТ ПАРК", 45230861, начальник юридичного вiддiлу</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900"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+380503571443,</w:t>
            </w: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oleg.bilkin@eurocar.ua</w:t>
            </w:r>
          </w:p>
        </w:tc>
      </w:tr>
    </w:tbl>
    <w:p w:rsidR="00000000" w:rsidRDefault="00BB1AB6">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BB1AB6">
      <w:pPr>
        <w:widowControl w:val="0"/>
        <w:autoSpaceDE w:val="0"/>
        <w:autoSpaceDN w:val="0"/>
        <w:adjustRightInd w:val="0"/>
        <w:spacing w:after="0" w:line="240" w:lineRule="auto"/>
        <w:rPr>
          <w:rFonts w:ascii="Times New Roman CYR" w:hAnsi="Times New Roman CYR" w:cs="Times New Roman CYR"/>
          <w:sz w:val="20"/>
          <w:szCs w:val="20"/>
        </w:rPr>
        <w:sectPr w:rsidR="00000000">
          <w:pgSz w:w="16837" w:h="11905" w:orient="landscape"/>
          <w:pgMar w:top="570" w:right="720" w:bottom="570" w:left="720" w:header="708" w:footer="708" w:gutter="0"/>
          <w:cols w:space="720"/>
          <w:noEndnote/>
        </w:sectPr>
      </w:pPr>
    </w:p>
    <w:p w:rsidR="00000000" w:rsidRDefault="00BB1AB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Організаційна структура</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https://www.skoda-auto.ua/company/organizational-structure-of-emitent </w:t>
      </w:r>
    </w:p>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Структура власності</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https://www.skoda-auto.ua/company/ownership-structure-of-emitent </w:t>
      </w:r>
    </w:p>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4. Опис господарської та фінансової діяльності</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належнiсть особи до будь-яких об'єднань пiдприємств, повне найменування та мiсцезнаходження об'єднання, опис дiяль</w:t>
      </w:r>
      <w:r>
        <w:rPr>
          <w:rFonts w:ascii="Times New Roman CYR" w:hAnsi="Times New Roman CYR" w:cs="Times New Roman CYR"/>
          <w:sz w:val="24"/>
          <w:szCs w:val="24"/>
        </w:rPr>
        <w:t>ностi об'єднання, строк участi особи у вiдповiдному об'єднаннi, роль особи в об'єднаннi, посилання на вебсайт об'єднання;</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Товариство не належить до будь-яких об'єднань пiдприємств. </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спiльна дiяльнiсть, яку особа проводить з iншими органiзацiями, пiд</w:t>
      </w:r>
      <w:r>
        <w:rPr>
          <w:rFonts w:ascii="Times New Roman CYR" w:hAnsi="Times New Roman CYR" w:cs="Times New Roman CYR"/>
          <w:sz w:val="24"/>
          <w:szCs w:val="24"/>
        </w:rPr>
        <w:t>приємствами, установами, при цьому зазначаються сума вкладiв, мета вкладiв (отримання прибутку, iншi цiлi) та отриманий фiнансовий результат за звiтний рiк з кожного виду спiльної дiяльностi;</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проводить спiльної дiяльностi з iншими органiзацi</w:t>
      </w:r>
      <w:r>
        <w:rPr>
          <w:rFonts w:ascii="Times New Roman CYR" w:hAnsi="Times New Roman CYR" w:cs="Times New Roman CYR"/>
          <w:sz w:val="24"/>
          <w:szCs w:val="24"/>
        </w:rPr>
        <w:t>ями, пiдприємствами, установами.</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опис обраної облiкової полiтики (метод нарахування амортизацiї, метод оцiнки вартостi запасiв, метод облiку та оцiнки вартостi фiнансових iнвестицiй тощо);</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Амортизацiя об'єктiв основних засобiв нараховується по прямо</w:t>
      </w:r>
      <w:r>
        <w:rPr>
          <w:rFonts w:ascii="Times New Roman CYR" w:hAnsi="Times New Roman CYR" w:cs="Times New Roman CYR"/>
          <w:sz w:val="24"/>
          <w:szCs w:val="24"/>
        </w:rPr>
        <w:t>лiнiйному методу. Визнання, оцiнка i облiк основних засобiв здiйснюється вiдповiдно до МСБО 16 "Основнi засоби". Визнання, оцiнка i облiк нематерiальних активiв здiйснюється вiдповiдно до МСБО 38 "Нематерiальнi активи". Одиницею облiку визнається окремий о</w:t>
      </w:r>
      <w:r>
        <w:rPr>
          <w:rFonts w:ascii="Times New Roman CYR" w:hAnsi="Times New Roman CYR" w:cs="Times New Roman CYR"/>
          <w:sz w:val="24"/>
          <w:szCs w:val="24"/>
        </w:rPr>
        <w:t xml:space="preserve">б'єкт нематерiальних активiв. Товарно-матерiальнi цiнностi визнаються, оцiнюються i враховуються вiдповiдно до МСБО 2 "Запаси". Одиницею запасiв визнається кожне найменування цiнностей. Придбанi запаси зараховуються на баланс по собiвартостi вiдповiдно до </w:t>
      </w:r>
      <w:r>
        <w:rPr>
          <w:rFonts w:ascii="Times New Roman CYR" w:hAnsi="Times New Roman CYR" w:cs="Times New Roman CYR"/>
          <w:sz w:val="24"/>
          <w:szCs w:val="24"/>
        </w:rPr>
        <w:t>МСБО 2 "Запаси", ТЗВ включаються в собiвартiсть запасiв. Запаси, якi не принесуть економiчних вигод в майбутньому, визнаються нелiквiдними i списуються в бухгалтерському облiку. Фiнансовi iнвестицiї первiсно оцiнюються та вiдображаються у бухгалтерському о</w:t>
      </w:r>
      <w:r>
        <w:rPr>
          <w:rFonts w:ascii="Times New Roman CYR" w:hAnsi="Times New Roman CYR" w:cs="Times New Roman CYR"/>
          <w:sz w:val="24"/>
          <w:szCs w:val="24"/>
        </w:rPr>
        <w:t>блiку за собiвартiстю. Собiвартiсть фiнансової iнвестицiї складається з цiни її придбання, комiсiйних винагород, мита, податкiв, зборiв, обов'язкових платежiв та iнших витрат, безпосередньо пов'язаних з придбанням фiнансової iнвестицiї. Фiнансовi iнвестицi</w:t>
      </w:r>
      <w:r>
        <w:rPr>
          <w:rFonts w:ascii="Times New Roman CYR" w:hAnsi="Times New Roman CYR" w:cs="Times New Roman CYR"/>
          <w:sz w:val="24"/>
          <w:szCs w:val="24"/>
        </w:rPr>
        <w:t>ї на дату балансу вiдображаються за справедливою вартiстю.</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опис обраної полiтики щодо фiнансування дiяльностi особи, достатнiсть робочого капiталу для поточних потреб, можливi шляхи покращення лiквiдностi;</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Обрана полiтика фiнансування передбачає використання власного капiталу та залучення коштiв фiнансових установ (банкiв). Робочого капiталу достатньо для поточних потреб. Можливим шляхом покращення лiквiдностi є зниження кредиторської заборгованостi.</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 о</w:t>
      </w:r>
      <w:r>
        <w:rPr>
          <w:rFonts w:ascii="Times New Roman CYR" w:hAnsi="Times New Roman CYR" w:cs="Times New Roman CYR"/>
          <w:sz w:val="24"/>
          <w:szCs w:val="24"/>
        </w:rPr>
        <w:t>пис полiтики щодо дослiджень та розробок, сума витрат на дослiдження та розробку за звiтний рiк;</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Дослiдження та розробки Товариством не здiйснювались.</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iнформацiя щодо продуктiв (товарiв або послуг) особи:</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продуктiв (товарiв та/або послуг), якi</w:t>
      </w:r>
      <w:r>
        <w:rPr>
          <w:rFonts w:ascii="Times New Roman CYR" w:hAnsi="Times New Roman CYR" w:cs="Times New Roman CYR"/>
          <w:sz w:val="24"/>
          <w:szCs w:val="24"/>
        </w:rPr>
        <w:t xml:space="preserve"> виробляє/надає особа;</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Основним видом продукцiї пiдприємства є автомобiлi марки "Skoda", що призначенi для перевезення пасажирiв i невеликого вантажу.</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обсяги виробництва (у натуральному та грошовому виразi);</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Обсяги виробництва у натуральному виразi: 2</w:t>
      </w:r>
      <w:r>
        <w:rPr>
          <w:rFonts w:ascii="Times New Roman CYR" w:hAnsi="Times New Roman CYR" w:cs="Times New Roman CYR"/>
          <w:sz w:val="24"/>
          <w:szCs w:val="24"/>
        </w:rPr>
        <w:t>87 шт. Обсяги виробництва у грошовому виразi:  255689 тис.грн.</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середньореалiзацiйнi цiни продуктiв;</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Середньореалiзацiйнi  цiни: 970,24 тис. грн.</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загальна сума виручки;</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Сума виручки у звiтному перiодi вiд реалiзацiї виготовлених авто 257113 тис. грн.</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загальна сума експорту, частка експорту в загальному обсязi продажiв;</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Експорт вiдсутнiй;</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залежнiсть вiд сезонних змiн;</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Вiдсутня;</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клiєнти (бiльше 5 % у загальнiй сумi виручки);</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Основним клiєнтом є ТОВ "Єврокар".</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ринки збуту та країни, в яких о</w:t>
      </w:r>
      <w:r>
        <w:rPr>
          <w:rFonts w:ascii="Times New Roman CYR" w:hAnsi="Times New Roman CYR" w:cs="Times New Roman CYR"/>
          <w:sz w:val="24"/>
          <w:szCs w:val="24"/>
        </w:rPr>
        <w:t>собою здiйснюється дiяльнiсть;</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Ринком збуту є внутрiшнiй ринок України.</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канали збуту;</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Продукцiя пiдприємства реалiзується через ТОВ "Єврокар", який здiйснює роздрiбну торгiвлю новими автомобiлями марки Skoda через мережу дилерських пiдприємств на терито</w:t>
      </w:r>
      <w:r>
        <w:rPr>
          <w:rFonts w:ascii="Times New Roman CYR" w:hAnsi="Times New Roman CYR" w:cs="Times New Roman CYR"/>
          <w:sz w:val="24"/>
          <w:szCs w:val="24"/>
        </w:rPr>
        <w:t>рiї України та органiзовує їх сервiсне обслуговуваня.</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постачальники та види товарiв та/або послуг, якi вони постачають/надають особi, країни з яких здiйснюється постачання/надання товарiв/послуг;</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комплектуючi, матерiали, сировина для виро</w:t>
      </w:r>
      <w:r>
        <w:rPr>
          <w:rFonts w:ascii="Times New Roman CYR" w:hAnsi="Times New Roman CYR" w:cs="Times New Roman CYR"/>
          <w:sz w:val="24"/>
          <w:szCs w:val="24"/>
        </w:rPr>
        <w:t>бництва автомобiлiв закуповуються у SkodaAuto a.s.</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особливостi стану розвитку галузi, в якiй здiйснює дiяльнiсть особа;</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Автомобiльна галузь є надзвичайно складним технологiчно виробничим процесом. Свiтова економiчна криза призвела до рiзкого падi</w:t>
      </w:r>
      <w:r>
        <w:rPr>
          <w:rFonts w:ascii="Times New Roman CYR" w:hAnsi="Times New Roman CYR" w:cs="Times New Roman CYR"/>
          <w:sz w:val="24"/>
          <w:szCs w:val="24"/>
        </w:rPr>
        <w:t xml:space="preserve">ння автомобiльного ринку України, яке матерiалiзувалося в значному </w:t>
      </w:r>
      <w:r>
        <w:rPr>
          <w:rFonts w:ascii="Times New Roman CYR" w:hAnsi="Times New Roman CYR" w:cs="Times New Roman CYR"/>
          <w:sz w:val="24"/>
          <w:szCs w:val="24"/>
        </w:rPr>
        <w:lastRenderedPageBreak/>
        <w:t>зменшеннi показникiв виробництва, через що українськi виробники були вимушенi значно скоротити чисельнiсть працiвникiв.</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технологiй, якi використовує особа у своїй дiяльностi;</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Техноло</w:t>
      </w:r>
      <w:r>
        <w:rPr>
          <w:rFonts w:ascii="Times New Roman CYR" w:hAnsi="Times New Roman CYR" w:cs="Times New Roman CYR"/>
          <w:sz w:val="24"/>
          <w:szCs w:val="24"/>
        </w:rPr>
        <w:t xml:space="preserve">гiчне обладнання на пiдприємствi дозволяє забезпечити повний технологiчний процес CKD виробництва автомобiлiв (зварювання кузовiв, фарбування, збирання), вiдповiдає українським та європейським нормам, забезпечує високу ступiнь екологiчної чистоти процесiв </w:t>
      </w:r>
      <w:r>
        <w:rPr>
          <w:rFonts w:ascii="Times New Roman CYR" w:hAnsi="Times New Roman CYR" w:cs="Times New Roman CYR"/>
          <w:sz w:val="24"/>
          <w:szCs w:val="24"/>
        </w:rPr>
        <w:t>та економiю енергоресурсiв.</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Наразi Товариство використовує технологiю крупновузлового виробництва автомобiлiв SKD, на наявному технологiчному обладнаннi.</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мiсце особи на ринку, на якому вона здiйснює дiяльнiсть;</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Становище товариства на ринку стабiльне.</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рiвень конкуренцiя в галузi, основнi конкуренти особи;</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Автомобiльна галузь вiдрiзняється високою конкуренцiєю i представлена практично всiма свiтовими марками. У класi В конкурентами моделi Skoda Fabia є автомобiлi марок Chevrolet Aveo, Renault Logan, Hyu</w:t>
      </w:r>
      <w:r>
        <w:rPr>
          <w:rFonts w:ascii="Times New Roman CYR" w:hAnsi="Times New Roman CYR" w:cs="Times New Roman CYR"/>
          <w:sz w:val="24"/>
          <w:szCs w:val="24"/>
        </w:rPr>
        <w:t>ndai Accent, Hyundai Gets. У класi C конкурентами моделi Skoda Octavia є ав-томобiлi марок Toyota Corolla, Hyundai Elantra. У класi E конкурентами моделi Skoda Superb є автомобiлi марок Toyota Camry, Hyundai Sonata, VW Passat. У класi SUV конкурентами моде</w:t>
      </w:r>
      <w:r>
        <w:rPr>
          <w:rFonts w:ascii="Times New Roman CYR" w:hAnsi="Times New Roman CYR" w:cs="Times New Roman CYR"/>
          <w:sz w:val="24"/>
          <w:szCs w:val="24"/>
        </w:rPr>
        <w:t>лi Skoda Karoq є автомобiлi марок Nissan Qashqai, Toyota RAV4, VW Tiguan, Skoda Kodiaq - Nissan X-Trail.</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перспективнi плани розвитку особи.</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Перспективнiсть виробництва автомобiлiв марки "Skoda", що призначенi для перевезення пасажирiв i невеликого вантаж</w:t>
      </w:r>
      <w:r>
        <w:rPr>
          <w:rFonts w:ascii="Times New Roman CYR" w:hAnsi="Times New Roman CYR" w:cs="Times New Roman CYR"/>
          <w:sz w:val="24"/>
          <w:szCs w:val="24"/>
        </w:rPr>
        <w:t xml:space="preserve">у оцiнюється як висока, зокрема для вiтчизняного ринку споживачiв. </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 опис ризикiв, як притаманнi дiяльностi особи, пiдходи до управлiння ризиками, заходи особи щодо зменшення впливу ризикiв;</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Основними ризиками в дiяльностi Товариства є полiтична та економiчна нестабiльнiсть; змiни законодавства та оподаткування; iнфляцiйнi процеси в економiцi України, державна митна полiтика. Ризики експлуатацiйного перiоду (збiльшення витрат на функцiонування</w:t>
      </w:r>
      <w:r>
        <w:rPr>
          <w:rFonts w:ascii="Times New Roman CYR" w:hAnsi="Times New Roman CYR" w:cs="Times New Roman CYR"/>
          <w:sz w:val="24"/>
          <w:szCs w:val="24"/>
        </w:rPr>
        <w:t xml:space="preserve"> об'єкту, неплатоспроможнiсть партнерiв, криза збуту продукцiї та iн.). </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 здiйсненнi внутрiшнього контролю використовуються рiзнi методи, вони включають в себе такi елементи, як: Управлiння фiнансовими  ризиками: дiяльнiсть товариства пiддається впливу</w:t>
      </w:r>
      <w:r>
        <w:rPr>
          <w:rFonts w:ascii="Times New Roman CYR" w:hAnsi="Times New Roman CYR" w:cs="Times New Roman CYR"/>
          <w:sz w:val="24"/>
          <w:szCs w:val="24"/>
        </w:rPr>
        <w:t xml:space="preserve"> безлiчi фiнансових ризикiв, включаючи ефект вiд змiни ринкових цiн, коливань валютних курсiв. </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Керiвництво товариства  веде полiтику, спрямовану на попередження й зменшення впливу таких ризикiв. Управлiння ризиками здiйснюється адмiнiстрацiєю товариства.</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Управлiння кредитними ризиками: фiнансовi iнструменти, якi потенцiйно пiддаються впливу кредитного ризику, в основному представленi торговою дебiторською заборгованiстю та грошовими коштами та еквiвалентами. Управлiння ризиком лiквiдностi: для управлiння</w:t>
      </w:r>
      <w:r>
        <w:rPr>
          <w:rFonts w:ascii="Times New Roman CYR" w:hAnsi="Times New Roman CYR" w:cs="Times New Roman CYR"/>
          <w:sz w:val="24"/>
          <w:szCs w:val="24"/>
        </w:rPr>
        <w:t xml:space="preserve"> ризиком лiквiдностi </w:t>
      </w:r>
      <w:r>
        <w:rPr>
          <w:rFonts w:ascii="Times New Roman CYR" w:hAnsi="Times New Roman CYR" w:cs="Times New Roman CYR"/>
          <w:sz w:val="24"/>
          <w:szCs w:val="24"/>
        </w:rPr>
        <w:lastRenderedPageBreak/>
        <w:t>керiвництво товариства проводить полiтику управлiння активами й зобов'язаннями, спрямовану на недопущення розривiв у строках платежiв, що виражається в здатностi мобiлiзацiї лiквiдних активiв для погашення поточних зобов'язань.Управлiн</w:t>
      </w:r>
      <w:r>
        <w:rPr>
          <w:rFonts w:ascii="Times New Roman CYR" w:hAnsi="Times New Roman CYR" w:cs="Times New Roman CYR"/>
          <w:sz w:val="24"/>
          <w:szCs w:val="24"/>
        </w:rPr>
        <w:t xml:space="preserve">ня ризиками має на метi забезпечення належного функцiонування внутрiшнiх процедур та полiтики, що спрямованi на мiнiмiзацiю цих ризикiв. </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 стратегiя подальшої дiяльностi особи щонайменше на рiк (щодо розширення виробництва, реконструкцiї, полiпшення ф</w:t>
      </w:r>
      <w:r>
        <w:rPr>
          <w:rFonts w:ascii="Times New Roman CYR" w:hAnsi="Times New Roman CYR" w:cs="Times New Roman CYR"/>
          <w:sz w:val="24"/>
          <w:szCs w:val="24"/>
        </w:rPr>
        <w:t>iнансового стану, опис iстотних факторiв, якi можуть вплинути на дiяльнiсть особи в майбутньому);</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планує продовжити випуск автомобiлiв марки Skoda моделi Karoq та планує iмпорт нових моделей.</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 основнi придбання або вiдчуження активiв за ос</w:t>
      </w:r>
      <w:r>
        <w:rPr>
          <w:rFonts w:ascii="Times New Roman CYR" w:hAnsi="Times New Roman CYR" w:cs="Times New Roman CYR"/>
          <w:sz w:val="24"/>
          <w:szCs w:val="24"/>
        </w:rPr>
        <w:t>таннi п'ять рокiв, а також якщо плануються будь-якi значнi iнвестицiї або придбання, то також необхiдно надати їх опис, включаючи суттєвi умови придбання або iнвестицiї, їх вартiсть i спосiб фiнансування;</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 перiод 2020-3 кв. 2025рр. Товариством було прид</w:t>
      </w:r>
      <w:r>
        <w:rPr>
          <w:rFonts w:ascii="Times New Roman CYR" w:hAnsi="Times New Roman CYR" w:cs="Times New Roman CYR"/>
          <w:sz w:val="24"/>
          <w:szCs w:val="24"/>
        </w:rPr>
        <w:t>бано активiв на загальну суму 567875,2 тис.грн. За звiтний перiод (3 кв. 2025 року) було придбано активiв на 18002,3 тис. грн. Пiдприємство не планує будь-якi значнi iнвестицiї або придбання, пов'язанi з його господарською дiяльнiстю.</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10) основнi засоби</w:t>
      </w:r>
      <w:r>
        <w:rPr>
          <w:rFonts w:ascii="Times New Roman CYR" w:hAnsi="Times New Roman CYR" w:cs="Times New Roman CYR"/>
          <w:sz w:val="24"/>
          <w:szCs w:val="24"/>
        </w:rPr>
        <w:t xml:space="preserve"> особи, включаючи об'єкти оренди та будь-якi значнi правочини особи щодо них; виробничi потужностi та ступiнь використання обладнання, спосiб утримання активiв, мiсцезнаходження основних засобiв. Крiм того, необхiдно описати екологiчнi питання, що можуть п</w:t>
      </w:r>
      <w:r>
        <w:rPr>
          <w:rFonts w:ascii="Times New Roman CYR" w:hAnsi="Times New Roman CYR" w:cs="Times New Roman CYR"/>
          <w:sz w:val="24"/>
          <w:szCs w:val="24"/>
        </w:rPr>
        <w:t>означитися на використаннi активiв пiдприємства, плани капiтального будiвництва, розширення або удосконалення основних засобiв, характер та причини таких планiв, суми видаткiв, у тому числi вже зроблених, методи фiнансування, прогнознi дати початку та закi</w:t>
      </w:r>
      <w:r>
        <w:rPr>
          <w:rFonts w:ascii="Times New Roman CYR" w:hAnsi="Times New Roman CYR" w:cs="Times New Roman CYR"/>
          <w:sz w:val="24"/>
          <w:szCs w:val="24"/>
        </w:rPr>
        <w:t>нчення дiяльностi та очiкуване зростання виробничих потужностей пiсля її завершення;</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засоби емiтента знаходяться за адресою Закарпатська область, Ужгородський район, с. Соломоново, вул. Перемоги, 46. До основних засобiв емiтента вiдноситься: - зем</w:t>
      </w:r>
      <w:r>
        <w:rPr>
          <w:rFonts w:ascii="Times New Roman CYR" w:hAnsi="Times New Roman CYR" w:cs="Times New Roman CYR"/>
          <w:sz w:val="24"/>
          <w:szCs w:val="24"/>
        </w:rPr>
        <w:t>ельнi дiлянки; - виробничий цех; - промислова iнфраструктура (логiстична та iнженерна); - машини та обладнання; - транспортнi засоби; - iнша необоротнi та нематерiальнi активи. Також ПрАТ "Єврокар" орендує у ТОВ "РIК" виробничий комплекс, що складається з:</w:t>
      </w:r>
      <w:r>
        <w:rPr>
          <w:rFonts w:ascii="Times New Roman CYR" w:hAnsi="Times New Roman CYR" w:cs="Times New Roman CYR"/>
          <w:sz w:val="24"/>
          <w:szCs w:val="24"/>
        </w:rPr>
        <w:t xml:space="preserve"> - монтажний цех та АБК; - промислова iнфраструктура (складська, логiстична та iнженерна); - обладнання; у ТОВ "Євромотор" - транс-форматорну пiдстанцiю. ПрАТ "Єврокар" суворо дотримується екологiчних стандартiв. Техно-логiчне обладнання вiдповiдає українс</w:t>
      </w:r>
      <w:r>
        <w:rPr>
          <w:rFonts w:ascii="Times New Roman CYR" w:hAnsi="Times New Roman CYR" w:cs="Times New Roman CYR"/>
          <w:sz w:val="24"/>
          <w:szCs w:val="24"/>
        </w:rPr>
        <w:t>ьким та європейським нормам, забезпечує високу ступiнь екологiчної чистоти процесiв та економiю енергоресурсiв. Отриманi лiмiти на утворення та зберiгання вiдходiв виробництва, отримано дозвiл на викиди забруднюючих речовин в атмосферне повiтря, отримано с</w:t>
      </w:r>
      <w:r>
        <w:rPr>
          <w:rFonts w:ascii="Times New Roman CYR" w:hAnsi="Times New Roman CYR" w:cs="Times New Roman CYR"/>
          <w:sz w:val="24"/>
          <w:szCs w:val="24"/>
        </w:rPr>
        <w:t>пецiальний дозвiл на водокористування. Порушень законодавства у сферi охорони навколишнього природного середовища перевiрками не виявлено. Розробленi та впрова-джуються заходи по охоронi навколишнього природного середовища. Максимальнi виробничi потужностi</w:t>
      </w:r>
      <w:r>
        <w:rPr>
          <w:rFonts w:ascii="Times New Roman CYR" w:hAnsi="Times New Roman CYR" w:cs="Times New Roman CYR"/>
          <w:sz w:val="24"/>
          <w:szCs w:val="24"/>
        </w:rPr>
        <w:t xml:space="preserve"> заводу з врахуванням модернiзацiї становлять 50000 тис. авто/рiк. На даний момент виробничi потужностi повнiстю не завантаженi (в т.ч. через кризу), та на кiнець звiтного перiоду використання виробничих потужностей становило 2.3 %. Капiтальне будiвництво </w:t>
      </w:r>
      <w:r>
        <w:rPr>
          <w:rFonts w:ascii="Times New Roman CYR" w:hAnsi="Times New Roman CYR" w:cs="Times New Roman CYR"/>
          <w:sz w:val="24"/>
          <w:szCs w:val="24"/>
        </w:rPr>
        <w:t>не планується. Удосконалення виробничих засобiв не плануються у зв'язку з вiдсутнiстю повної завантаженостi виробничих потужностей.</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11) проблеми, якi впливають на дiяльнiсть особи, в тому числi ступiнь залежностi вiд законодавчих або економiчних обмежень;</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Ризики, пов'язанi зi змiною полiтичної та економiчної ситуацiї в Українi, ризики експлуатацiйного перiоду (збiльшення цiн на енерго</w:t>
      </w:r>
      <w:r>
        <w:rPr>
          <w:rFonts w:ascii="Times New Roman CYR" w:hAnsi="Times New Roman CYR" w:cs="Times New Roman CYR"/>
          <w:sz w:val="24"/>
          <w:szCs w:val="24"/>
        </w:rPr>
        <w:t>носiї, неплатоспроможнiсть партнерiв, криза збуту продукцiї та iн.). Ступiнь залежностi вiд законодавчих або економiчних обмежень - суттєва.</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12) вартiсть укладених, але ще не виконаних договорiв (контрактiв) на кiнець звiтного перiоду (загальний пiдсумо</w:t>
      </w:r>
      <w:r>
        <w:rPr>
          <w:rFonts w:ascii="Times New Roman CYR" w:hAnsi="Times New Roman CYR" w:cs="Times New Roman CYR"/>
          <w:sz w:val="24"/>
          <w:szCs w:val="24"/>
        </w:rPr>
        <w:t>к) та очiкуванi прибутки вiд виконання цих договорiв (контрактiв);</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Вартiсть укладених, але ще не виконаних договорiв (контрактiв) -  520321,0 тис. грн.</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13) середньооблiкова чисельнiсть штатних працiвникiв особи, середня чисельнiсть позаштатних працiвни</w:t>
      </w:r>
      <w:r>
        <w:rPr>
          <w:rFonts w:ascii="Times New Roman CYR" w:hAnsi="Times New Roman CYR" w:cs="Times New Roman CYR"/>
          <w:sz w:val="24"/>
          <w:szCs w:val="24"/>
        </w:rPr>
        <w:t>кiв та осiб, якi працюють за сумiсництвом, чисельнiсть працiвникiв, якi працюють на умовах неповного робочого часу (дня, тижня), розмiр фонду оплати працi. Крiм того, зазначається про факти змiни розмiру фонду оплати працi, його збiльшення або зменшення вi</w:t>
      </w:r>
      <w:r>
        <w:rPr>
          <w:rFonts w:ascii="Times New Roman CYR" w:hAnsi="Times New Roman CYR" w:cs="Times New Roman CYR"/>
          <w:sz w:val="24"/>
          <w:szCs w:val="24"/>
        </w:rPr>
        <w:t>дносно попереднього звiтного перiоду;</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середньооблiкова чисельнiсть штатних працiвникiв - 231;</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середня чисельнiсть позаштатних працiвникiв - 0,</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осiб, якi працюють за сумiсництвом - 32, </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чисельнiсть працiвникiв, якi працюють на умовах неповного робочого</w:t>
      </w:r>
      <w:r>
        <w:rPr>
          <w:rFonts w:ascii="Times New Roman CYR" w:hAnsi="Times New Roman CYR" w:cs="Times New Roman CYR"/>
          <w:sz w:val="24"/>
          <w:szCs w:val="24"/>
        </w:rPr>
        <w:t xml:space="preserve"> часу (дня, тижня) - 42, </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розмiр фонду оплати працi 26252995,68 грн.,</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факти змiни розмiру фонду оплати працi, його збiльшення або зменшення вiдносно попереднього звiтного перiоду: у порiвняннi з попереднiм звiтним перiодом фонд оплати працi зменшився.</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14) будь-якi пропозицiї щодо реорганiзацiї з боку третiх осiб, що мали мiсце протягом звiтного перiоду, умови та результати цих пропозицiй;</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Пропозицiї щодо реорганiзацiї з боку третiх осiб не було.</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15) iнша iнформацiя, яка може бути iстотною для оцiнк</w:t>
      </w:r>
      <w:r>
        <w:rPr>
          <w:rFonts w:ascii="Times New Roman CYR" w:hAnsi="Times New Roman CYR" w:cs="Times New Roman CYR"/>
          <w:sz w:val="24"/>
          <w:szCs w:val="24"/>
        </w:rPr>
        <w:t>и стейкхолдерами фiнансового стану та результатiв дiяльностi особи.</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 iншою iнформацiєю, яка може бути iстотною для оцiнки фiнансового стану та результатiв дiяльностi Товариства, стейкхолдери можуть ознайомитись на сайтi Товариства за посиланням https://w</w:t>
      </w:r>
      <w:r>
        <w:rPr>
          <w:rFonts w:ascii="Times New Roman CYR" w:hAnsi="Times New Roman CYR" w:cs="Times New Roman CYR"/>
          <w:sz w:val="24"/>
          <w:szCs w:val="24"/>
        </w:rPr>
        <w:t xml:space="preserve">ww.skoda-auto.ua/company/prat-eurocar-info-for-shareholders. </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p>
    <w:p w:rsidR="00555F15" w:rsidRDefault="00555F15">
      <w:pPr>
        <w:widowControl w:val="0"/>
        <w:autoSpaceDE w:val="0"/>
        <w:autoSpaceDN w:val="0"/>
        <w:adjustRightInd w:val="0"/>
        <w:spacing w:after="0" w:line="240" w:lineRule="auto"/>
        <w:rPr>
          <w:rFonts w:ascii="Times New Roman CYR" w:hAnsi="Times New Roman CYR" w:cs="Times New Roman CYR"/>
          <w:b/>
          <w:bCs/>
          <w:sz w:val="24"/>
          <w:szCs w:val="24"/>
        </w:rPr>
      </w:pPr>
    </w:p>
    <w:p w:rsidR="00555F15" w:rsidRDefault="00555F15">
      <w:pPr>
        <w:widowControl w:val="0"/>
        <w:autoSpaceDE w:val="0"/>
        <w:autoSpaceDN w:val="0"/>
        <w:adjustRightInd w:val="0"/>
        <w:spacing w:after="0" w:line="240" w:lineRule="auto"/>
        <w:rPr>
          <w:rFonts w:ascii="Times New Roman CYR" w:hAnsi="Times New Roman CYR" w:cs="Times New Roman CYR"/>
          <w:b/>
          <w:bCs/>
          <w:sz w:val="24"/>
          <w:szCs w:val="24"/>
        </w:rPr>
      </w:pPr>
    </w:p>
    <w:p w:rsidR="00555F15" w:rsidRDefault="00555F15">
      <w:pPr>
        <w:widowControl w:val="0"/>
        <w:autoSpaceDE w:val="0"/>
        <w:autoSpaceDN w:val="0"/>
        <w:adjustRightInd w:val="0"/>
        <w:spacing w:after="0" w:line="240" w:lineRule="auto"/>
        <w:rPr>
          <w:rFonts w:ascii="Times New Roman CYR" w:hAnsi="Times New Roman CYR" w:cs="Times New Roman CYR"/>
          <w:b/>
          <w:bCs/>
          <w:sz w:val="24"/>
          <w:szCs w:val="24"/>
        </w:rPr>
      </w:pPr>
    </w:p>
    <w:p w:rsidR="00555F15" w:rsidRDefault="00555F15">
      <w:pPr>
        <w:widowControl w:val="0"/>
        <w:autoSpaceDE w:val="0"/>
        <w:autoSpaceDN w:val="0"/>
        <w:adjustRightInd w:val="0"/>
        <w:spacing w:after="0" w:line="240" w:lineRule="auto"/>
        <w:rPr>
          <w:rFonts w:ascii="Times New Roman CYR" w:hAnsi="Times New Roman CYR" w:cs="Times New Roman CYR"/>
          <w:b/>
          <w:bCs/>
          <w:sz w:val="24"/>
          <w:szCs w:val="24"/>
        </w:rPr>
      </w:pPr>
    </w:p>
    <w:p w:rsidR="00555F15" w:rsidRDefault="00555F15">
      <w:pPr>
        <w:widowControl w:val="0"/>
        <w:autoSpaceDE w:val="0"/>
        <w:autoSpaceDN w:val="0"/>
        <w:adjustRightInd w:val="0"/>
        <w:spacing w:after="0" w:line="240" w:lineRule="auto"/>
        <w:rPr>
          <w:rFonts w:ascii="Times New Roman CYR" w:hAnsi="Times New Roman CYR" w:cs="Times New Roman CYR"/>
          <w:b/>
          <w:bCs/>
          <w:sz w:val="24"/>
          <w:szCs w:val="24"/>
        </w:rPr>
      </w:pPr>
    </w:p>
    <w:p w:rsidR="00555F15" w:rsidRDefault="00555F15">
      <w:pPr>
        <w:widowControl w:val="0"/>
        <w:autoSpaceDE w:val="0"/>
        <w:autoSpaceDN w:val="0"/>
        <w:adjustRightInd w:val="0"/>
        <w:spacing w:after="0" w:line="240" w:lineRule="auto"/>
        <w:rPr>
          <w:rFonts w:ascii="Times New Roman CYR" w:hAnsi="Times New Roman CYR" w:cs="Times New Roman CYR"/>
          <w:b/>
          <w:bCs/>
          <w:sz w:val="24"/>
          <w:szCs w:val="24"/>
        </w:rPr>
      </w:pPr>
    </w:p>
    <w:p w:rsidR="00555F15" w:rsidRDefault="00555F15">
      <w:pPr>
        <w:widowControl w:val="0"/>
        <w:autoSpaceDE w:val="0"/>
        <w:autoSpaceDN w:val="0"/>
        <w:adjustRightInd w:val="0"/>
        <w:spacing w:after="0" w:line="240" w:lineRule="auto"/>
        <w:rPr>
          <w:rFonts w:ascii="Times New Roman CYR" w:hAnsi="Times New Roman CYR" w:cs="Times New Roman CYR"/>
          <w:b/>
          <w:bCs/>
          <w:sz w:val="24"/>
          <w:szCs w:val="24"/>
        </w:rPr>
      </w:pPr>
    </w:p>
    <w:p w:rsidR="00000000" w:rsidRDefault="00BB1AB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Інформація щодо отриманих особою ліцензій</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470"/>
        <w:gridCol w:w="2685"/>
        <w:gridCol w:w="1500"/>
        <w:gridCol w:w="1065"/>
        <w:gridCol w:w="3000"/>
        <w:gridCol w:w="1200"/>
      </w:tblGrid>
      <w:tr w:rsidR="00000000">
        <w:tblPrEx>
          <w:tblCellMar>
            <w:top w:w="0" w:type="dxa"/>
            <w:bottom w:w="0" w:type="dxa"/>
          </w:tblCellMar>
        </w:tblPrEx>
        <w:trPr>
          <w:trHeight w:val="200"/>
        </w:trPr>
        <w:tc>
          <w:tcPr>
            <w:tcW w:w="47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2685"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 діяльності</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Номер ліцензії</w:t>
            </w:r>
          </w:p>
        </w:tc>
        <w:tc>
          <w:tcPr>
            <w:tcW w:w="1065"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видачі</w:t>
            </w:r>
          </w:p>
        </w:tc>
        <w:tc>
          <w:tcPr>
            <w:tcW w:w="3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Орган державної влади, що видав ліцензію</w:t>
            </w:r>
          </w:p>
        </w:tc>
        <w:tc>
          <w:tcPr>
            <w:tcW w:w="1200"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закінчення строку дії ліцензії (за наявності)</w:t>
            </w:r>
          </w:p>
        </w:tc>
      </w:tr>
      <w:tr w:rsidR="00000000">
        <w:tblPrEx>
          <w:tblCellMar>
            <w:top w:w="0" w:type="dxa"/>
            <w:bottom w:w="0" w:type="dxa"/>
          </w:tblCellMar>
        </w:tblPrEx>
        <w:trPr>
          <w:trHeight w:val="200"/>
        </w:trPr>
        <w:tc>
          <w:tcPr>
            <w:tcW w:w="47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685"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065"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3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200"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r>
      <w:tr w:rsidR="00000000">
        <w:tblPrEx>
          <w:tblCellMar>
            <w:top w:w="0" w:type="dxa"/>
            <w:bottom w:w="0" w:type="dxa"/>
          </w:tblCellMar>
        </w:tblPrEx>
        <w:trPr>
          <w:trHeight w:val="200"/>
        </w:trPr>
        <w:tc>
          <w:tcPr>
            <w:tcW w:w="47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685"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Медична практика</w:t>
            </w:r>
          </w:p>
        </w:tc>
        <w:tc>
          <w:tcPr>
            <w:tcW w:w="150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АЕ№281980</w:t>
            </w:r>
          </w:p>
        </w:tc>
        <w:tc>
          <w:tcPr>
            <w:tcW w:w="1065"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16.01.2014</w:t>
            </w:r>
          </w:p>
        </w:tc>
        <w:tc>
          <w:tcPr>
            <w:tcW w:w="300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Мiнiстерство охорони здоров'я України</w:t>
            </w:r>
          </w:p>
        </w:tc>
        <w:tc>
          <w:tcPr>
            <w:tcW w:w="12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47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685"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Лiцензiя на право зберiгання пального (виключно для потреб власного споживання чи промисловоъ переробки)</w:t>
            </w:r>
          </w:p>
        </w:tc>
        <w:tc>
          <w:tcPr>
            <w:tcW w:w="150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07140414202400114</w:t>
            </w:r>
          </w:p>
        </w:tc>
        <w:tc>
          <w:tcPr>
            <w:tcW w:w="1065"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10.07.2024</w:t>
            </w:r>
          </w:p>
        </w:tc>
        <w:tc>
          <w:tcPr>
            <w:tcW w:w="300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Головне управлiння ДПС у Закарпатськiй областi</w:t>
            </w:r>
          </w:p>
        </w:tc>
        <w:tc>
          <w:tcPr>
            <w:tcW w:w="12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29.07.2029</w:t>
            </w:r>
          </w:p>
        </w:tc>
      </w:tr>
    </w:tbl>
    <w:p w:rsidR="00000000" w:rsidRDefault="00BB1AB6">
      <w:pPr>
        <w:widowControl w:val="0"/>
        <w:autoSpaceDE w:val="0"/>
        <w:autoSpaceDN w:val="0"/>
        <w:adjustRightInd w:val="0"/>
        <w:spacing w:after="0" w:line="240" w:lineRule="auto"/>
        <w:rPr>
          <w:rFonts w:ascii="Times New Roman CYR" w:hAnsi="Times New Roman CYR" w:cs="Times New Roman CYR"/>
        </w:rPr>
      </w:pPr>
    </w:p>
    <w:p w:rsidR="00000000" w:rsidRDefault="00BB1AB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основні засоби (за залишковою вартістю)</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58"/>
        <w:gridCol w:w="1260"/>
        <w:gridCol w:w="1080"/>
        <w:gridCol w:w="1260"/>
        <w:gridCol w:w="1080"/>
        <w:gridCol w:w="1260"/>
        <w:gridCol w:w="1082"/>
      </w:tblGrid>
      <w:tr w:rsidR="00000000">
        <w:tblPrEx>
          <w:tblCellMar>
            <w:top w:w="0" w:type="dxa"/>
            <w:bottom w:w="0" w:type="dxa"/>
          </w:tblCellMar>
        </w:tblPrEx>
        <w:trPr>
          <w:trHeight w:val="200"/>
        </w:trPr>
        <w:tc>
          <w:tcPr>
            <w:tcW w:w="3058" w:type="dxa"/>
            <w:vMerge w:val="restart"/>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основних засобів</w:t>
            </w:r>
          </w:p>
        </w:tc>
        <w:tc>
          <w:tcPr>
            <w:tcW w:w="2340" w:type="dxa"/>
            <w:gridSpan w:val="2"/>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Власні основні засоби, тис. грн</w:t>
            </w:r>
          </w:p>
        </w:tc>
        <w:tc>
          <w:tcPr>
            <w:tcW w:w="2340" w:type="dxa"/>
            <w:gridSpan w:val="2"/>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Орендовані основні засоби, тис. грн</w:t>
            </w:r>
          </w:p>
        </w:tc>
        <w:tc>
          <w:tcPr>
            <w:tcW w:w="2342" w:type="dxa"/>
            <w:gridSpan w:val="2"/>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Основні засоби, усього, тис. грн</w:t>
            </w:r>
          </w:p>
        </w:tc>
      </w:tr>
      <w:tr w:rsidR="00000000">
        <w:tblPrEx>
          <w:tblCellMar>
            <w:top w:w="0" w:type="dxa"/>
            <w:bottom w:w="0" w:type="dxa"/>
          </w:tblCellMar>
        </w:tblPrEx>
        <w:trPr>
          <w:trHeight w:val="200"/>
        </w:trPr>
        <w:tc>
          <w:tcPr>
            <w:tcW w:w="3058" w:type="dxa"/>
            <w:vMerge/>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2"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 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120 624</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117 877</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120 624</w:t>
            </w:r>
          </w:p>
        </w:tc>
        <w:tc>
          <w:tcPr>
            <w:tcW w:w="1082"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117 877</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64 777</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48 797</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64 777</w:t>
            </w:r>
          </w:p>
        </w:tc>
        <w:tc>
          <w:tcPr>
            <w:tcW w:w="1082"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48 797</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21 460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31 514</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21 460</w:t>
            </w:r>
          </w:p>
        </w:tc>
        <w:tc>
          <w:tcPr>
            <w:tcW w:w="1082"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31 514</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13 984</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17 176</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13 984</w:t>
            </w:r>
          </w:p>
        </w:tc>
        <w:tc>
          <w:tcPr>
            <w:tcW w:w="1082"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17 176</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20 233</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20 233</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20 233</w:t>
            </w:r>
          </w:p>
        </w:tc>
        <w:tc>
          <w:tcPr>
            <w:tcW w:w="1082"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20 233</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157</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170</w:t>
            </w:r>
          </w:p>
        </w:tc>
        <w:tc>
          <w:tcPr>
            <w:tcW w:w="1082"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157</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2. Невиробничого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інвестиційна нерухомість</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120 624</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117 877</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120 624</w:t>
            </w:r>
          </w:p>
        </w:tc>
        <w:tc>
          <w:tcPr>
            <w:tcW w:w="1082"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117 877</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7022" w:type="dxa"/>
            <w:gridSpan w:val="6"/>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Основнi за</w:t>
            </w:r>
            <w:r>
              <w:rPr>
                <w:rFonts w:ascii="Times New Roman CYR" w:hAnsi="Times New Roman CYR" w:cs="Times New Roman CYR"/>
              </w:rPr>
              <w:t>соби використовуються в господарськiй дiяльностi.</w:t>
            </w:r>
          </w:p>
          <w:p w:rsidR="00000000" w:rsidRDefault="00BB1AB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Термiни використання основних засобiв:</w:t>
            </w:r>
          </w:p>
          <w:p w:rsidR="00000000" w:rsidRDefault="00BB1AB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2 - капiтальнi витрати на полiпшення земель, не пов'язанi з будiвництвом - 180 мiсяцiв.</w:t>
            </w:r>
          </w:p>
          <w:p w:rsidR="00000000" w:rsidRDefault="00BB1AB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3 - в т.ч.:</w:t>
            </w:r>
          </w:p>
          <w:p w:rsidR="00000000" w:rsidRDefault="00BB1AB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Будiвлi - 240 мiсяцiв;</w:t>
            </w:r>
          </w:p>
          <w:p w:rsidR="00000000" w:rsidRDefault="00BB1AB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Споруди - 180 мiсяцiв;</w:t>
            </w:r>
          </w:p>
          <w:p w:rsidR="00000000" w:rsidRDefault="00BB1AB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Передавальнi пристрої - 120 мiсяцiв.</w:t>
            </w:r>
          </w:p>
          <w:p w:rsidR="00000000" w:rsidRDefault="00BB1AB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4- в т.ч.:</w:t>
            </w:r>
          </w:p>
          <w:p w:rsidR="00000000" w:rsidRDefault="00BB1AB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Машини та обладнання - 60 мiсяцiв;</w:t>
            </w:r>
          </w:p>
          <w:p w:rsidR="00000000" w:rsidRDefault="00BB1AB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Електронно-обчислювальнi машини, iншi: - 24 мiсяцi.</w:t>
            </w:r>
          </w:p>
          <w:p w:rsidR="00000000" w:rsidRDefault="00BB1AB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5 - транспортнi засоби - 60 мiсяцiв.</w:t>
            </w:r>
          </w:p>
          <w:p w:rsidR="00000000" w:rsidRDefault="00BB1AB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6 - iнструменти, прилади, iнвентар (меблi) - 48 мiсяцi</w:t>
            </w:r>
            <w:r>
              <w:rPr>
                <w:rFonts w:ascii="Times New Roman CYR" w:hAnsi="Times New Roman CYR" w:cs="Times New Roman CYR"/>
              </w:rPr>
              <w:t>в.</w:t>
            </w:r>
          </w:p>
          <w:p w:rsidR="00000000" w:rsidRDefault="00BB1AB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7 - тварини - 72 мiсяцi.</w:t>
            </w:r>
          </w:p>
          <w:p w:rsidR="00000000" w:rsidRDefault="00BB1AB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8 - багаторiчнi насадження - 120 мiсяцiв.</w:t>
            </w:r>
          </w:p>
          <w:p w:rsidR="00000000" w:rsidRDefault="00BB1AB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lastRenderedPageBreak/>
              <w:t>Група 9 - iншi основнi засоби - 144 мiсяцi.</w:t>
            </w:r>
          </w:p>
          <w:p w:rsidR="00000000" w:rsidRDefault="00BB1AB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10 - бiблiотечнi фонди.</w:t>
            </w:r>
          </w:p>
          <w:p w:rsidR="00000000" w:rsidRDefault="00BB1AB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11- малоцiннi необоротнi активи.</w:t>
            </w:r>
          </w:p>
          <w:p w:rsidR="00000000" w:rsidRDefault="00BB1AB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12 - тимчасовi (нетитульнi) споруди - 60 мiсяцiв.</w:t>
            </w:r>
          </w:p>
          <w:p w:rsidR="00000000" w:rsidRDefault="00BB1AB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14 - iнвентарна тара - 72 мiсяцi.</w:t>
            </w:r>
          </w:p>
          <w:p w:rsidR="00000000" w:rsidRDefault="00BB1AB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15 - предмети прокату - 72 мiсяцi.</w:t>
            </w:r>
          </w:p>
          <w:p w:rsidR="00000000" w:rsidRDefault="00BB1AB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16 - довгостроковi бiологiчнi активи - 84 мiсяцi.</w:t>
            </w:r>
          </w:p>
          <w:p w:rsidR="00000000" w:rsidRDefault="00BB1AB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Первiсна вартiсть основних засобiв - 1681303 тис. грн.</w:t>
            </w:r>
          </w:p>
          <w:p w:rsidR="00000000" w:rsidRDefault="00BB1AB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Ступiнь їх зносу - 92,99 %</w:t>
            </w:r>
          </w:p>
          <w:p w:rsidR="00000000" w:rsidRDefault="00BB1AB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Ступiнь їх використання - 100%</w:t>
            </w:r>
            <w:r>
              <w:rPr>
                <w:rFonts w:ascii="Times New Roman CYR" w:hAnsi="Times New Roman CYR" w:cs="Times New Roman CYR"/>
              </w:rPr>
              <w:t>.</w:t>
            </w:r>
          </w:p>
          <w:p w:rsidR="00000000" w:rsidRDefault="00BB1AB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Сума нарахованого зносу - 1563426 тис.грн.</w:t>
            </w:r>
          </w:p>
          <w:p w:rsidR="00000000" w:rsidRDefault="00BB1AB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У заставi перебувають основнi засоби (виробниче обладнання)  застав-ною вартiстю - 1 075 тис. грн., нерухоме майно заставною вартiстю - 17 247 тис. грн.</w:t>
            </w:r>
          </w:p>
          <w:p w:rsidR="00000000" w:rsidRDefault="00BB1AB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Суттєвих змiн у вартостi основних засобiв не було.</w:t>
            </w:r>
          </w:p>
          <w:p w:rsidR="00000000" w:rsidRDefault="00BB1AB6">
            <w:pPr>
              <w:widowControl w:val="0"/>
              <w:autoSpaceDE w:val="0"/>
              <w:autoSpaceDN w:val="0"/>
              <w:adjustRightInd w:val="0"/>
              <w:spacing w:after="0" w:line="240" w:lineRule="auto"/>
              <w:jc w:val="both"/>
              <w:rPr>
                <w:rFonts w:ascii="Times New Roman CYR" w:hAnsi="Times New Roman CYR" w:cs="Times New Roman CYR"/>
              </w:rPr>
            </w:pPr>
          </w:p>
        </w:tc>
      </w:tr>
    </w:tbl>
    <w:p w:rsidR="00000000" w:rsidRDefault="00BB1AB6">
      <w:pPr>
        <w:widowControl w:val="0"/>
        <w:autoSpaceDE w:val="0"/>
        <w:autoSpaceDN w:val="0"/>
        <w:adjustRightInd w:val="0"/>
        <w:spacing w:after="0" w:line="240" w:lineRule="auto"/>
        <w:rPr>
          <w:rFonts w:ascii="Times New Roman CYR" w:hAnsi="Times New Roman CYR" w:cs="Times New Roman CYR"/>
        </w:rPr>
      </w:pPr>
    </w:p>
    <w:p w:rsidR="00000000" w:rsidRDefault="00BB1AB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зобов'язання та забезпечення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780"/>
        <w:gridCol w:w="1440"/>
        <w:gridCol w:w="1480"/>
        <w:gridCol w:w="1940"/>
        <w:gridCol w:w="1328"/>
      </w:tblGrid>
      <w:tr w:rsidR="00000000">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Види зобов’язань</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виникнення</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Непогашена частина боргу (тис. грн)</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Відсоток за користування коштами (відсоток річних)</w:t>
            </w:r>
          </w:p>
        </w:tc>
        <w:tc>
          <w:tcPr>
            <w:tcW w:w="1328"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погашення</w:t>
            </w:r>
          </w:p>
        </w:tc>
      </w:tr>
      <w:tr w:rsidR="00000000">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Кредити банку</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Зобов’</w:t>
            </w:r>
            <w:r>
              <w:rPr>
                <w:rFonts w:ascii="Times New Roman CYR" w:hAnsi="Times New Roman CYR" w:cs="Times New Roman CYR"/>
              </w:rPr>
              <w:t>язання за цінними паперами</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облігаціями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іпотечними цінними паперами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сертифікатами ФОН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векселями (всього):</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p>
        </w:tc>
        <w:tc>
          <w:tcPr>
            <w:tcW w:w="144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28"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іншими цінними паперами (у тому числі за деривативами)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фінансовими інвестиціями в корпоративні права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Податкові зобов'язання</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1 920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Податок на доходи фiзичних осiб</w:t>
            </w:r>
          </w:p>
        </w:tc>
        <w:tc>
          <w:tcPr>
            <w:tcW w:w="144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1 083</w:t>
            </w:r>
          </w:p>
        </w:tc>
        <w:tc>
          <w:tcPr>
            <w:tcW w:w="194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Земельний податок</w:t>
            </w:r>
          </w:p>
        </w:tc>
        <w:tc>
          <w:tcPr>
            <w:tcW w:w="144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w:t>
            </w:r>
          </w:p>
        </w:tc>
        <w:tc>
          <w:tcPr>
            <w:tcW w:w="194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Вiйськовий збiр</w:t>
            </w:r>
          </w:p>
        </w:tc>
        <w:tc>
          <w:tcPr>
            <w:tcW w:w="144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297</w:t>
            </w:r>
          </w:p>
        </w:tc>
        <w:tc>
          <w:tcPr>
            <w:tcW w:w="194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Акцизний податок</w:t>
            </w:r>
          </w:p>
        </w:tc>
        <w:tc>
          <w:tcPr>
            <w:tcW w:w="144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323</w:t>
            </w:r>
          </w:p>
        </w:tc>
        <w:tc>
          <w:tcPr>
            <w:tcW w:w="194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Екологiчний податок</w:t>
            </w:r>
          </w:p>
        </w:tc>
        <w:tc>
          <w:tcPr>
            <w:tcW w:w="144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94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Податок на нерухоме майно, вiдмiнне вiд земельної дiлянки</w:t>
            </w:r>
          </w:p>
        </w:tc>
        <w:tc>
          <w:tcPr>
            <w:tcW w:w="144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103</w:t>
            </w:r>
          </w:p>
        </w:tc>
        <w:tc>
          <w:tcPr>
            <w:tcW w:w="194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Податок на прибуток iноземних юридичних осiб</w:t>
            </w:r>
          </w:p>
        </w:tc>
        <w:tc>
          <w:tcPr>
            <w:tcW w:w="144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91</w:t>
            </w:r>
          </w:p>
        </w:tc>
        <w:tc>
          <w:tcPr>
            <w:tcW w:w="194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Транспортний податок</w:t>
            </w:r>
          </w:p>
        </w:tc>
        <w:tc>
          <w:tcPr>
            <w:tcW w:w="144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194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Фінансова допомога на зворотній основі</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зобов'язання та забезпечення</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2 049 391</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заборгованiсть за довгостроковими зобов'язаннями</w:t>
            </w:r>
          </w:p>
        </w:tc>
        <w:tc>
          <w:tcPr>
            <w:tcW w:w="144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99 711</w:t>
            </w:r>
          </w:p>
        </w:tc>
        <w:tc>
          <w:tcPr>
            <w:tcW w:w="194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заборгованiсть за товари, роботи, послуги</w:t>
            </w:r>
          </w:p>
        </w:tc>
        <w:tc>
          <w:tcPr>
            <w:tcW w:w="144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33 876</w:t>
            </w:r>
          </w:p>
        </w:tc>
        <w:tc>
          <w:tcPr>
            <w:tcW w:w="194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заборгованiсть за розрахунками зi страхування</w:t>
            </w:r>
          </w:p>
        </w:tc>
        <w:tc>
          <w:tcPr>
            <w:tcW w:w="144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1 221</w:t>
            </w:r>
          </w:p>
        </w:tc>
        <w:tc>
          <w:tcPr>
            <w:tcW w:w="194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заборгованiсть за розрахунками з оплати працi</w:t>
            </w:r>
          </w:p>
        </w:tc>
        <w:tc>
          <w:tcPr>
            <w:tcW w:w="144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3 783</w:t>
            </w:r>
          </w:p>
        </w:tc>
        <w:tc>
          <w:tcPr>
            <w:tcW w:w="194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заборгованiсть за одержаними авансами</w:t>
            </w:r>
          </w:p>
        </w:tc>
        <w:tc>
          <w:tcPr>
            <w:tcW w:w="144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48 501</w:t>
            </w:r>
          </w:p>
        </w:tc>
        <w:tc>
          <w:tcPr>
            <w:tcW w:w="194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заборгованiсть за розрахунками з учасниками</w:t>
            </w:r>
          </w:p>
        </w:tc>
        <w:tc>
          <w:tcPr>
            <w:tcW w:w="144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6 081</w:t>
            </w:r>
          </w:p>
        </w:tc>
        <w:tc>
          <w:tcPr>
            <w:tcW w:w="194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Поточнi забезпечення</w:t>
            </w:r>
          </w:p>
        </w:tc>
        <w:tc>
          <w:tcPr>
            <w:tcW w:w="144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3 727</w:t>
            </w:r>
          </w:p>
        </w:tc>
        <w:tc>
          <w:tcPr>
            <w:tcW w:w="194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Доходи майбутнiх перiодiв</w:t>
            </w:r>
          </w:p>
        </w:tc>
        <w:tc>
          <w:tcPr>
            <w:tcW w:w="144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190</w:t>
            </w:r>
          </w:p>
        </w:tc>
        <w:tc>
          <w:tcPr>
            <w:tcW w:w="194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Iншi поточнi зобов'язання</w:t>
            </w:r>
          </w:p>
        </w:tc>
        <w:tc>
          <w:tcPr>
            <w:tcW w:w="144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206 109</w:t>
            </w:r>
          </w:p>
        </w:tc>
        <w:tc>
          <w:tcPr>
            <w:tcW w:w="194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зобов'язань та забезпечень</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2 051 311</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bl>
    <w:p w:rsidR="00000000" w:rsidRDefault="00BB1AB6">
      <w:pPr>
        <w:widowControl w:val="0"/>
        <w:autoSpaceDE w:val="0"/>
        <w:autoSpaceDN w:val="0"/>
        <w:adjustRightInd w:val="0"/>
        <w:spacing w:after="0" w:line="240" w:lineRule="auto"/>
        <w:rPr>
          <w:rFonts w:ascii="Times New Roman CYR" w:hAnsi="Times New Roman CYR" w:cs="Times New Roman CYR"/>
        </w:rPr>
      </w:pPr>
    </w:p>
    <w:p w:rsidR="00000000" w:rsidRDefault="00BB1AB6">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про обсяги виробництва та реалізації основних видів продукції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
        <w:gridCol w:w="2500"/>
        <w:gridCol w:w="2000"/>
        <w:gridCol w:w="2000"/>
        <w:gridCol w:w="2200"/>
        <w:gridCol w:w="2000"/>
        <w:gridCol w:w="2000"/>
        <w:gridCol w:w="2200"/>
      </w:tblGrid>
      <w:tr w:rsidR="00000000">
        <w:tblPrEx>
          <w:tblCellMar>
            <w:top w:w="0" w:type="dxa"/>
            <w:bottom w:w="0" w:type="dxa"/>
          </w:tblCellMar>
        </w:tblPrEx>
        <w:trPr>
          <w:trHeight w:val="200"/>
        </w:trPr>
        <w:tc>
          <w:tcPr>
            <w:tcW w:w="500" w:type="dxa"/>
            <w:vMerge w:val="restart"/>
            <w:tcBorders>
              <w:top w:val="single" w:sz="6" w:space="0" w:color="auto"/>
              <w:bottom w:val="nil"/>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2500" w:type="dxa"/>
            <w:vMerge w:val="restart"/>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Основний вид продукції</w:t>
            </w:r>
          </w:p>
        </w:tc>
        <w:tc>
          <w:tcPr>
            <w:tcW w:w="6200" w:type="dxa"/>
            <w:gridSpan w:val="3"/>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Обсяг виробництва</w:t>
            </w:r>
          </w:p>
        </w:tc>
        <w:tc>
          <w:tcPr>
            <w:tcW w:w="6200" w:type="dxa"/>
            <w:gridSpan w:val="3"/>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Обсяг реалізованої продукції</w:t>
            </w:r>
          </w:p>
        </w:tc>
      </w:tr>
      <w:tr w:rsidR="00000000">
        <w:tblPrEx>
          <w:tblCellMar>
            <w:top w:w="0" w:type="dxa"/>
            <w:bottom w:w="0" w:type="dxa"/>
          </w:tblCellMar>
        </w:tblPrEx>
        <w:trPr>
          <w:trHeight w:val="200"/>
        </w:trPr>
        <w:tc>
          <w:tcPr>
            <w:tcW w:w="500" w:type="dxa"/>
            <w:vMerge/>
            <w:tcBorders>
              <w:top w:val="nil"/>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c>
          <w:tcPr>
            <w:tcW w:w="2500" w:type="dxa"/>
            <w:vMerge/>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натуральній формі (фізична одиниця виміру)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грошовій формі, тис.грн</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відсотках до всієї виробленої продукції</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натуральній формі (фізична одиниця виміру)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 у грошовій формі, тис.грн</w:t>
            </w:r>
          </w:p>
        </w:tc>
        <w:tc>
          <w:tcPr>
            <w:tcW w:w="2200"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відсотках до всієї реалізованої продукції</w:t>
            </w:r>
          </w:p>
        </w:tc>
      </w:tr>
      <w:tr w:rsidR="00000000">
        <w:tblPrEx>
          <w:tblCellMar>
            <w:top w:w="0" w:type="dxa"/>
            <w:left w:w="28" w:type="dxa"/>
            <w:bottom w:w="0" w:type="dxa"/>
            <w:right w:w="28"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2200"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r>
      <w:tr w:rsidR="00000000">
        <w:tblPrEx>
          <w:tblCellMar>
            <w:top w:w="0" w:type="dxa"/>
            <w:left w:w="28" w:type="dxa"/>
            <w:bottom w:w="0" w:type="dxa"/>
            <w:right w:w="28" w:type="dxa"/>
          </w:tblCellMar>
        </w:tblPrEx>
        <w:trPr>
          <w:trHeight w:val="300"/>
        </w:trPr>
        <w:tc>
          <w:tcPr>
            <w:tcW w:w="5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50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Автомобiлi Skoda</w:t>
            </w:r>
          </w:p>
        </w:tc>
        <w:tc>
          <w:tcPr>
            <w:tcW w:w="200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287 штук</w:t>
            </w:r>
          </w:p>
        </w:tc>
        <w:tc>
          <w:tcPr>
            <w:tcW w:w="200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255689</w:t>
            </w:r>
          </w:p>
        </w:tc>
        <w:tc>
          <w:tcPr>
            <w:tcW w:w="220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c>
          <w:tcPr>
            <w:tcW w:w="200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265 штук</w:t>
            </w:r>
          </w:p>
        </w:tc>
        <w:tc>
          <w:tcPr>
            <w:tcW w:w="200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257113</w:t>
            </w:r>
          </w:p>
        </w:tc>
        <w:tc>
          <w:tcPr>
            <w:tcW w:w="22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bl>
    <w:p w:rsidR="00000000" w:rsidRDefault="00BB1AB6">
      <w:pPr>
        <w:widowControl w:val="0"/>
        <w:autoSpaceDE w:val="0"/>
        <w:autoSpaceDN w:val="0"/>
        <w:adjustRightInd w:val="0"/>
        <w:spacing w:after="0" w:line="240" w:lineRule="auto"/>
        <w:rPr>
          <w:rFonts w:ascii="Times New Roman CYR" w:hAnsi="Times New Roman CYR" w:cs="Times New Roman CYR"/>
        </w:rPr>
      </w:pPr>
    </w:p>
    <w:p w:rsidR="00000000" w:rsidRDefault="00BB1AB6">
      <w:pPr>
        <w:widowControl w:val="0"/>
        <w:autoSpaceDE w:val="0"/>
        <w:autoSpaceDN w:val="0"/>
        <w:adjustRightInd w:val="0"/>
        <w:spacing w:after="0" w:line="240" w:lineRule="auto"/>
        <w:rPr>
          <w:rFonts w:ascii="Times New Roman CYR" w:hAnsi="Times New Roman CYR" w:cs="Times New Roman CYR"/>
        </w:rPr>
        <w:sectPr w:rsidR="00000000">
          <w:pgSz w:w="16837" w:h="11905" w:orient="landscape"/>
          <w:pgMar w:top="570" w:right="720" w:bottom="570" w:left="720" w:header="708" w:footer="708" w:gutter="0"/>
          <w:cols w:space="720"/>
          <w:noEndnote/>
        </w:sectPr>
      </w:pPr>
    </w:p>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про собівартість реалізованої продукції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620"/>
        <w:gridCol w:w="3300"/>
        <w:gridCol w:w="5900"/>
      </w:tblGrid>
      <w:tr w:rsidR="00000000">
        <w:tblPrEx>
          <w:tblCellMar>
            <w:top w:w="0" w:type="dxa"/>
            <w:bottom w:w="0" w:type="dxa"/>
          </w:tblCellMar>
        </w:tblPrEx>
        <w:trPr>
          <w:trHeight w:val="300"/>
        </w:trPr>
        <w:tc>
          <w:tcPr>
            <w:tcW w:w="62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33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Склад витрат</w:t>
            </w:r>
          </w:p>
        </w:tc>
        <w:tc>
          <w:tcPr>
            <w:tcW w:w="5900"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Відсоток від загальної собівартості реалізованої продукції (у відсотках)</w:t>
            </w:r>
          </w:p>
        </w:tc>
      </w:tr>
      <w:tr w:rsidR="00000000">
        <w:tblPrEx>
          <w:tblCellMar>
            <w:top w:w="0" w:type="dxa"/>
            <w:bottom w:w="0" w:type="dxa"/>
          </w:tblCellMar>
        </w:tblPrEx>
        <w:trPr>
          <w:trHeight w:val="300"/>
        </w:trPr>
        <w:tc>
          <w:tcPr>
            <w:tcW w:w="62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33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5900"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r>
      <w:tr w:rsidR="00000000">
        <w:tblPrEx>
          <w:tblCellMar>
            <w:top w:w="0" w:type="dxa"/>
            <w:bottom w:w="0" w:type="dxa"/>
          </w:tblCellMar>
        </w:tblPrEx>
        <w:trPr>
          <w:trHeight w:val="300"/>
        </w:trPr>
        <w:tc>
          <w:tcPr>
            <w:tcW w:w="62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330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комплектуючi</w:t>
            </w:r>
          </w:p>
        </w:tc>
        <w:tc>
          <w:tcPr>
            <w:tcW w:w="59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95</w:t>
            </w:r>
          </w:p>
        </w:tc>
      </w:tr>
    </w:tbl>
    <w:p w:rsidR="00000000" w:rsidRDefault="00BB1AB6">
      <w:pPr>
        <w:widowControl w:val="0"/>
        <w:autoSpaceDE w:val="0"/>
        <w:autoSpaceDN w:val="0"/>
        <w:adjustRightInd w:val="0"/>
        <w:spacing w:after="0" w:line="240" w:lineRule="auto"/>
        <w:rPr>
          <w:rFonts w:ascii="Times New Roman CYR" w:hAnsi="Times New Roman CYR" w:cs="Times New Roman CYR"/>
        </w:rPr>
      </w:pPr>
    </w:p>
    <w:p w:rsidR="00000000" w:rsidRDefault="00BB1AB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осіб, послугами яких користується особа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Публiчне акцiонерне товариство "Нацiональний депозитарiй України"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30370711</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04107, Україна, м. Київ, вул. Якубенкiвська, 7-г</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363-04-00</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63.11 - Оброблення даних, розмiщення iнформацiї на веб-вузлах i пов'язана з ними дiяльнiсть</w:t>
            </w:r>
          </w:p>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62.09 - Iнша дiяльнiсть у сферi iнформацiйних технологiй i комп'ютерних систем</w:t>
            </w:r>
          </w:p>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62.02 - Консультування з питань iнформатизацiї</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Працює без лiцензiї. Обслуговує випуск цiнних паперiв Товариства</w:t>
            </w:r>
          </w:p>
        </w:tc>
      </w:tr>
    </w:tbl>
    <w:p w:rsidR="00000000" w:rsidRDefault="00BB1AB6">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установа "Агентство з розвитку iнфраструктури фондового ринку України"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організація (установа, заклад)</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21676262</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03150, Україна, м. Київ, вул. Антоновича,  51, офiс 1206</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287-56-70</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63.11 - Оброблення даних, розмiщення iнформацiї на веб-вузлах i пов'язана з ними дiяльнiсть</w:t>
            </w:r>
          </w:p>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84.13 - Регулювання та сприяння ефективному веденню економiчної </w:t>
            </w:r>
            <w:r>
              <w:rPr>
                <w:rFonts w:ascii="Times New Roman CYR" w:hAnsi="Times New Roman CYR" w:cs="Times New Roman CYR"/>
              </w:rPr>
              <w:lastRenderedPageBreak/>
              <w:t>дiяльностi</w:t>
            </w:r>
          </w:p>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62.02 - Консультування з питань iнформатизацiї</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Працює без лiцензiї. Iнформацiйнi послуги на фондовому ринку з оприлюднення регульованої iнформацiї; Iнформацiйнi послуги з подання звiтностi та/або звiтних даних до НКЦПФР</w:t>
            </w:r>
          </w:p>
        </w:tc>
      </w:tr>
    </w:tbl>
    <w:p w:rsidR="00000000" w:rsidRDefault="00BB1AB6">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w:t>
            </w:r>
            <w:r>
              <w:rPr>
                <w:rFonts w:ascii="Times New Roman CYR" w:hAnsi="Times New Roman CYR" w:cs="Times New Roman CYR"/>
              </w:rPr>
              <w:t xml:space="preserve"> найменування або ім'я особи</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ВIДПОВIДАЛЬНIСТЮ  АУДИТОРСЬКА ФIРМА "АУДИТ-IНВЕСТ"</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відповідальністю</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32241880</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49101, Україна, м. Днiпро, вулиця Короленка, будинок 15, iнше примiщення 5</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0634</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Аудиторська палата України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27.10.2016</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(056) 745-14-05</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69.20 - Дiяльнiсть у сферi бухгалтерського облiку й аудиту; консультування з питань оподаткування</w:t>
            </w:r>
          </w:p>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r>
              <w:rPr>
                <w:rFonts w:ascii="Times New Roman CYR" w:hAnsi="Times New Roman CYR" w:cs="Times New Roman CYR"/>
              </w:rPr>
              <w:t>7.33 - Надання в оренду офiсних машин i устатковання, у тому числi комп'ютерiв</w:t>
            </w:r>
          </w:p>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85.59 - Iншi види освiти, н.в.i.у.</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Аудит фiнансової звiтностi</w:t>
            </w:r>
          </w:p>
        </w:tc>
      </w:tr>
    </w:tbl>
    <w:p w:rsidR="00000000" w:rsidRDefault="00BB1AB6">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ПРИВАТНЕ АКЦIОНЕРНЕ ТОВАРИСТВО "СТРАХОВА КОМПАНIЯ "УКРАЇНСЬКА СТРАХОВА ГРУПА"</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30859524</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03038, Україна, м. Київ, вулиця Федорова Iвана, будинок 32 ЛIТ.А</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Нацiональний банк України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25.04.2024</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Номер телефону</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237 02 78</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65.12 - Iншi види страхування, крiм страхування життя</w:t>
            </w:r>
          </w:p>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65.20 - Перестрахування</w:t>
            </w:r>
          </w:p>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66.21 - Оцiнювання ри</w:t>
            </w:r>
            <w:r>
              <w:rPr>
                <w:rFonts w:ascii="Times New Roman CYR" w:hAnsi="Times New Roman CYR" w:cs="Times New Roman CYR"/>
              </w:rPr>
              <w:t>зикiв та завданої шкоди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Послуги iз страхування</w:t>
            </w:r>
          </w:p>
        </w:tc>
      </w:tr>
    </w:tbl>
    <w:p w:rsidR="00000000" w:rsidRDefault="00BB1AB6">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АКЦIОНЕРНЕ ТОВАРИСТВО "СТРАХОВА КОМПАНIЯ "IНГО"</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16285602</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01054, Україна, м. Київ, ВУЛИЦЯ БУЛЬВАРНО-КУДРЯВСЬКА, будинок 33</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Нацiональний банк України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26.04.2024</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4902744</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65.12</w:t>
            </w:r>
            <w:r>
              <w:rPr>
                <w:rFonts w:ascii="Times New Roman CYR" w:hAnsi="Times New Roman CYR" w:cs="Times New Roman CYR"/>
              </w:rPr>
              <w:t xml:space="preserve"> - Iншi види страхування, крiм страхування життя</w:t>
            </w:r>
          </w:p>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65.20 - Перестрахування</w:t>
            </w:r>
          </w:p>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66.29 - Iнша допомiжна дiяльнiсть у сферi страхування та пенсiйного забезпечення</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Послуги iз страхування</w:t>
            </w:r>
          </w:p>
        </w:tc>
      </w:tr>
    </w:tbl>
    <w:p w:rsidR="00000000" w:rsidRDefault="00BB1AB6">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ПРИВАТНЕ АКЦIОНЕРНЕ ТОВАРИСТВО "УКРАЇНСЬКА ПОЖЕЖНО-СТРАХОВА КОМПАНIЯ"</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20602681</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04080, Україна, м. Київ, ВУЛИЦЯ КИРИЛIВСЬКА, будинок 40</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Нацiональний банк України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30.04.2024</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4636421</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65.12 - Iншi види страхування, крiм страхування життя</w:t>
            </w:r>
          </w:p>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68.20 - Надання в оренду й експлуатацiю власного чи орендованого нерухомого майна</w:t>
            </w:r>
          </w:p>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66.29 -</w:t>
            </w:r>
            <w:r>
              <w:rPr>
                <w:rFonts w:ascii="Times New Roman CYR" w:hAnsi="Times New Roman CYR" w:cs="Times New Roman CYR"/>
              </w:rPr>
              <w:t xml:space="preserve"> Iнша допомiжна дiяльнiсть у сферi страхування та пенсiйного </w:t>
            </w:r>
            <w:r>
              <w:rPr>
                <w:rFonts w:ascii="Times New Roman CYR" w:hAnsi="Times New Roman CYR" w:cs="Times New Roman CYR"/>
              </w:rPr>
              <w:lastRenderedPageBreak/>
              <w:t>забезпечення</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Послуги iз страхування</w:t>
            </w:r>
          </w:p>
        </w:tc>
      </w:tr>
    </w:tbl>
    <w:p w:rsidR="00000000" w:rsidRDefault="00BB1AB6">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ПРИВАТНЕ АКЦIОНЕРНЕ ТОВАРИСТВО"СТРАХОВА КОМПАНIЯ "ПЕРША"</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31681672</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03150, Україна, м. Київ, вул.Фiзкультури, будинок 30</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w:t>
            </w:r>
            <w:r>
              <w:rPr>
                <w:rFonts w:ascii="Times New Roman CYR" w:hAnsi="Times New Roman CYR" w:cs="Times New Roman CYR"/>
              </w:rPr>
              <w:t>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Нацiональний Банк України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26.04.2024</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3503501</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65.12 - Iншi види страхування, крiм страхування життя</w:t>
            </w:r>
          </w:p>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66.22 - Дiяльнiсть страхових агентiв i брокерiв</w:t>
            </w:r>
          </w:p>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65.20 - Перестрахування</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Послуги iз страхування</w:t>
            </w:r>
          </w:p>
        </w:tc>
      </w:tr>
    </w:tbl>
    <w:p w:rsidR="00000000" w:rsidRDefault="00BB1AB6">
      <w:pPr>
        <w:widowControl w:val="0"/>
        <w:autoSpaceDE w:val="0"/>
        <w:autoSpaceDN w:val="0"/>
        <w:adjustRightInd w:val="0"/>
        <w:spacing w:after="0" w:line="240" w:lineRule="auto"/>
        <w:rPr>
          <w:rFonts w:ascii="Times New Roman CYR" w:hAnsi="Times New Roman CYR" w:cs="Times New Roman CYR"/>
        </w:rPr>
      </w:pPr>
    </w:p>
    <w:p w:rsidR="00000000" w:rsidRDefault="00BB1AB6">
      <w:pPr>
        <w:widowControl w:val="0"/>
        <w:autoSpaceDE w:val="0"/>
        <w:autoSpaceDN w:val="0"/>
        <w:adjustRightInd w:val="0"/>
        <w:spacing w:after="0" w:line="240" w:lineRule="auto"/>
        <w:rPr>
          <w:rFonts w:ascii="Times New Roman CYR" w:hAnsi="Times New Roman CYR" w:cs="Times New Roman CYR"/>
        </w:rPr>
      </w:pPr>
    </w:p>
    <w:p w:rsidR="00000000" w:rsidRDefault="00BB1AB6">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lastRenderedPageBreak/>
        <w:t>5. Участь в інших юридичних особах</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
        <w:gridCol w:w="3000"/>
        <w:gridCol w:w="3000"/>
        <w:gridCol w:w="2300"/>
        <w:gridCol w:w="1200"/>
        <w:gridCol w:w="1200"/>
        <w:gridCol w:w="1200"/>
        <w:gridCol w:w="3000"/>
      </w:tblGrid>
      <w:tr w:rsidR="00000000">
        <w:tblPrEx>
          <w:tblCellMar>
            <w:top w:w="0" w:type="dxa"/>
            <w:bottom w:w="0" w:type="dxa"/>
          </w:tblCellMar>
        </w:tblPrEx>
        <w:trPr>
          <w:trHeight w:val="200"/>
        </w:trPr>
        <w:tc>
          <w:tcPr>
            <w:tcW w:w="500" w:type="dxa"/>
            <w:vMerge w:val="restart"/>
            <w:tcBorders>
              <w:top w:val="single" w:sz="6" w:space="0" w:color="auto"/>
              <w:bottom w:val="nil"/>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3000" w:type="dxa"/>
            <w:vMerge w:val="restart"/>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Повне найменування юридичної особи, в т.ч. її організаційно-правова форма</w:t>
            </w:r>
          </w:p>
        </w:tc>
        <w:tc>
          <w:tcPr>
            <w:tcW w:w="3000" w:type="dxa"/>
            <w:vMerge w:val="restart"/>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Місцезнаходження юридичної особи</w:t>
            </w:r>
          </w:p>
        </w:tc>
        <w:tc>
          <w:tcPr>
            <w:tcW w:w="2300" w:type="dxa"/>
            <w:vMerge w:val="restart"/>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Ідентифікаційний код юридичної особи/ номер/код з судового/торговельного/банківського реєстру</w:t>
            </w:r>
          </w:p>
        </w:tc>
        <w:tc>
          <w:tcPr>
            <w:tcW w:w="3600" w:type="dxa"/>
            <w:gridSpan w:val="3"/>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Розмір участі особи (у відсотках)</w:t>
            </w:r>
          </w:p>
        </w:tc>
        <w:tc>
          <w:tcPr>
            <w:tcW w:w="3000" w:type="dxa"/>
            <w:vMerge w:val="restart"/>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Активи, які було пере</w:t>
            </w:r>
            <w:r>
              <w:rPr>
                <w:rFonts w:ascii="Times New Roman CYR" w:hAnsi="Times New Roman CYR" w:cs="Times New Roman CYR"/>
              </w:rPr>
              <w:t>дано особі</w:t>
            </w:r>
          </w:p>
        </w:tc>
      </w:tr>
      <w:tr w:rsidR="00000000">
        <w:tblPrEx>
          <w:tblCellMar>
            <w:top w:w="0" w:type="dxa"/>
            <w:bottom w:w="0" w:type="dxa"/>
          </w:tblCellMar>
        </w:tblPrEx>
        <w:trPr>
          <w:trHeight w:val="200"/>
        </w:trPr>
        <w:tc>
          <w:tcPr>
            <w:tcW w:w="500" w:type="dxa"/>
            <w:vMerge/>
            <w:tcBorders>
              <w:top w:val="nil"/>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c>
          <w:tcPr>
            <w:tcW w:w="3000" w:type="dxa"/>
            <w:vMerge/>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c>
          <w:tcPr>
            <w:tcW w:w="3000" w:type="dxa"/>
            <w:vMerge/>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c>
          <w:tcPr>
            <w:tcW w:w="2300" w:type="dxa"/>
            <w:vMerge/>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пряма</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опосередкована</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сукупна</w:t>
            </w:r>
          </w:p>
        </w:tc>
        <w:tc>
          <w:tcPr>
            <w:tcW w:w="3000" w:type="dxa"/>
            <w:vMerge/>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left w:w="28" w:type="dxa"/>
            <w:bottom w:w="0" w:type="dxa"/>
            <w:right w:w="28" w:type="dxa"/>
          </w:tblCellMar>
        </w:tblPrEx>
        <w:trPr>
          <w:trHeight w:val="200"/>
        </w:trPr>
        <w:tc>
          <w:tcPr>
            <w:tcW w:w="50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3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3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3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3000"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r>
      <w:tr w:rsidR="00000000">
        <w:tblPrEx>
          <w:tblCellMar>
            <w:top w:w="0" w:type="dxa"/>
            <w:left w:w="28" w:type="dxa"/>
            <w:bottom w:w="0" w:type="dxa"/>
            <w:right w:w="28" w:type="dxa"/>
          </w:tblCellMar>
        </w:tblPrEx>
        <w:trPr>
          <w:trHeight w:val="200"/>
        </w:trPr>
        <w:tc>
          <w:tcPr>
            <w:tcW w:w="5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300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вiдповiдальнiстю "РIК"</w:t>
            </w:r>
          </w:p>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відповідальністю</w:t>
            </w:r>
          </w:p>
        </w:tc>
        <w:tc>
          <w:tcPr>
            <w:tcW w:w="300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89460, Закарпатська область, Ужгородський район, с. Соломоново, вул. Перемоги, 46</w:t>
            </w:r>
          </w:p>
        </w:tc>
        <w:tc>
          <w:tcPr>
            <w:tcW w:w="230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32784477</w:t>
            </w:r>
          </w:p>
        </w:tc>
        <w:tc>
          <w:tcPr>
            <w:tcW w:w="120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99,7487</w:t>
            </w:r>
          </w:p>
        </w:tc>
        <w:tc>
          <w:tcPr>
            <w:tcW w:w="120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99,7487</w:t>
            </w:r>
          </w:p>
        </w:tc>
        <w:tc>
          <w:tcPr>
            <w:tcW w:w="30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Грошовi кошти</w:t>
            </w:r>
          </w:p>
        </w:tc>
      </w:tr>
    </w:tbl>
    <w:p w:rsidR="00000000" w:rsidRDefault="00BB1AB6">
      <w:pPr>
        <w:widowControl w:val="0"/>
        <w:autoSpaceDE w:val="0"/>
        <w:autoSpaceDN w:val="0"/>
        <w:adjustRightInd w:val="0"/>
        <w:spacing w:after="0" w:line="240" w:lineRule="auto"/>
        <w:rPr>
          <w:rFonts w:ascii="Times New Roman CYR" w:hAnsi="Times New Roman CYR" w:cs="Times New Roman CYR"/>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II. Інформація щодо капіталу та цінних паперів</w:t>
      </w:r>
    </w:p>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Цінні папери</w:t>
      </w:r>
    </w:p>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випуски акцій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250"/>
        <w:gridCol w:w="1350"/>
        <w:gridCol w:w="2400"/>
        <w:gridCol w:w="1700"/>
        <w:gridCol w:w="1600"/>
        <w:gridCol w:w="1350"/>
        <w:gridCol w:w="1450"/>
        <w:gridCol w:w="1200"/>
        <w:gridCol w:w="1400"/>
        <w:gridCol w:w="1700"/>
      </w:tblGrid>
      <w:tr w:rsidR="00000000">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реєстрації випуску</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Номер свідоцтва про реєстрацію випуску</w:t>
            </w:r>
          </w:p>
        </w:tc>
        <w:tc>
          <w:tcPr>
            <w:tcW w:w="24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органу, що зареєстрував випуск</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w:t>
            </w:r>
            <w:r>
              <w:rPr>
                <w:rFonts w:ascii="Times New Roman CYR" w:hAnsi="Times New Roman CYR" w:cs="Times New Roman CYR"/>
              </w:rPr>
              <w:t>іжнародний ідентифікаційний номер</w:t>
            </w:r>
          </w:p>
        </w:tc>
        <w:tc>
          <w:tcPr>
            <w:tcW w:w="16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Тип цінного папера</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існування та форма випуску</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акцій, шт.</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Загальна номінальна вартість, грн</w:t>
            </w:r>
          </w:p>
        </w:tc>
        <w:tc>
          <w:tcPr>
            <w:tcW w:w="1700"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Частка у статутному капіталі (у відсотках)</w:t>
            </w:r>
          </w:p>
        </w:tc>
      </w:tr>
      <w:tr w:rsidR="00000000">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4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6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1700"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r>
      <w:tr w:rsidR="00000000">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01.11.2011</w:t>
            </w:r>
          </w:p>
        </w:tc>
        <w:tc>
          <w:tcPr>
            <w:tcW w:w="135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502/1/11</w:t>
            </w:r>
          </w:p>
        </w:tc>
        <w:tc>
          <w:tcPr>
            <w:tcW w:w="240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цiнних паперiв та фондового ринку</w:t>
            </w:r>
          </w:p>
        </w:tc>
        <w:tc>
          <w:tcPr>
            <w:tcW w:w="170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UA4000110258</w:t>
            </w:r>
          </w:p>
        </w:tc>
        <w:tc>
          <w:tcPr>
            <w:tcW w:w="160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бездокументарна іменна</w:t>
            </w:r>
          </w:p>
        </w:tc>
        <w:tc>
          <w:tcPr>
            <w:tcW w:w="135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290,2</w:t>
            </w:r>
          </w:p>
        </w:tc>
        <w:tc>
          <w:tcPr>
            <w:tcW w:w="120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807 980</w:t>
            </w:r>
          </w:p>
        </w:tc>
        <w:tc>
          <w:tcPr>
            <w:tcW w:w="140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234 475 796</w:t>
            </w:r>
          </w:p>
        </w:tc>
        <w:tc>
          <w:tcPr>
            <w:tcW w:w="17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000000">
        <w:tblPrEx>
          <w:tblCellMar>
            <w:top w:w="0" w:type="dxa"/>
            <w:bottom w:w="0" w:type="dxa"/>
          </w:tblCellMar>
        </w:tblPrEx>
        <w:trPr>
          <w:trHeight w:val="200"/>
        </w:trPr>
        <w:tc>
          <w:tcPr>
            <w:tcW w:w="2600" w:type="dxa"/>
            <w:gridSpan w:val="2"/>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12800" w:type="dxa"/>
            <w:gridSpan w:val="8"/>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Торгiвля цiнними паперами е</w:t>
            </w:r>
            <w:r>
              <w:rPr>
                <w:rFonts w:ascii="Times New Roman CYR" w:hAnsi="Times New Roman CYR" w:cs="Times New Roman CYR"/>
              </w:rPr>
              <w:t>мiтента на зовнiшнiх та внутрiшнiх ринках не здiйснювалась.  В звiтному перiодi фактiв допуску/скасування допуску цiнних паперiв до торгiв на регульованому фондовому ринку не було. Протягом звiтного перiоду Товариство не здiйснювало випускiв акцiй та iнших</w:t>
            </w:r>
            <w:r>
              <w:rPr>
                <w:rFonts w:ascii="Times New Roman CYR" w:hAnsi="Times New Roman CYR" w:cs="Times New Roman CYR"/>
              </w:rPr>
              <w:t xml:space="preserve"> видiв цiнних паперiв</w:t>
            </w:r>
          </w:p>
          <w:p w:rsidR="00000000" w:rsidRDefault="00BB1AB6">
            <w:pPr>
              <w:widowControl w:val="0"/>
              <w:autoSpaceDE w:val="0"/>
              <w:autoSpaceDN w:val="0"/>
              <w:adjustRightInd w:val="0"/>
              <w:spacing w:after="0" w:line="240" w:lineRule="auto"/>
              <w:jc w:val="both"/>
              <w:rPr>
                <w:rFonts w:ascii="Times New Roman CYR" w:hAnsi="Times New Roman CYR" w:cs="Times New Roman CYR"/>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В 2011-ому роцi було змiнено номiнальну вартiсть акцiй на 290,2 грн. Мета випуску акцiй: для оновлення основних фондiв, змiцнення матерiально-технiчної бази та поповнення обiгових коштiв для забезпечення статутної дiяльностi Товарист</w:t>
            </w:r>
            <w:r>
              <w:rPr>
                <w:rFonts w:ascii="Times New Roman CYR" w:hAnsi="Times New Roman CYR" w:cs="Times New Roman CYR"/>
              </w:rPr>
              <w:t>ва. Спосiб розмiщення - закрите (приватне). Додаткової емiсiї в звiтному перiодi не було.</w:t>
            </w:r>
          </w:p>
          <w:p w:rsidR="00000000" w:rsidRDefault="00BB1AB6">
            <w:pPr>
              <w:widowControl w:val="0"/>
              <w:autoSpaceDE w:val="0"/>
              <w:autoSpaceDN w:val="0"/>
              <w:adjustRightInd w:val="0"/>
              <w:spacing w:after="0" w:line="240" w:lineRule="auto"/>
              <w:jc w:val="both"/>
              <w:rPr>
                <w:rFonts w:ascii="Times New Roman CYR" w:hAnsi="Times New Roman CYR" w:cs="Times New Roman CYR"/>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Розпорядженням Нацiональної комiсiї з цiнних паперiв та фондового ринку № 12/12/2893/СО6-03 вiд 29.08.2025 у зв'язку з перетворенням акцiонерного товариства зупинено</w:t>
            </w:r>
            <w:r>
              <w:rPr>
                <w:rFonts w:ascii="Times New Roman CYR" w:hAnsi="Times New Roman CYR" w:cs="Times New Roman CYR"/>
              </w:rPr>
              <w:t xml:space="preserve"> обiг акцiй Товариства</w:t>
            </w:r>
          </w:p>
          <w:p w:rsidR="00000000" w:rsidRDefault="00BB1AB6">
            <w:pPr>
              <w:widowControl w:val="0"/>
              <w:autoSpaceDE w:val="0"/>
              <w:autoSpaceDN w:val="0"/>
              <w:adjustRightInd w:val="0"/>
              <w:spacing w:after="0" w:line="240" w:lineRule="auto"/>
              <w:jc w:val="both"/>
              <w:rPr>
                <w:rFonts w:ascii="Times New Roman CYR" w:hAnsi="Times New Roman CYR" w:cs="Times New Roman CYR"/>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rPr>
            </w:pPr>
          </w:p>
        </w:tc>
      </w:tr>
    </w:tbl>
    <w:p w:rsidR="00000000" w:rsidRDefault="00BB1AB6">
      <w:pPr>
        <w:widowControl w:val="0"/>
        <w:autoSpaceDE w:val="0"/>
        <w:autoSpaceDN w:val="0"/>
        <w:adjustRightInd w:val="0"/>
        <w:spacing w:after="0" w:line="240" w:lineRule="auto"/>
        <w:rPr>
          <w:rFonts w:ascii="Times New Roman CYR" w:hAnsi="Times New Roman CYR" w:cs="Times New Roman CYR"/>
        </w:rPr>
      </w:pPr>
    </w:p>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будь-які обмеження щодо обігу цінних паперів особи, в тому числі необхідність отримання від особи або інших власників цінних паперів згоди на відчуження таких цінних паперів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500"/>
        <w:gridCol w:w="2000"/>
        <w:gridCol w:w="2000"/>
        <w:gridCol w:w="2000"/>
        <w:gridCol w:w="2000"/>
        <w:gridCol w:w="3500"/>
        <w:gridCol w:w="2400"/>
      </w:tblGrid>
      <w:tr w:rsidR="000000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органу, що зареєстрував випуск</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 цінних паперів</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Міжнародний ідентифікаційний номер</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органу, що наклав обмеження</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Характеристика обмеження</w:t>
            </w:r>
          </w:p>
        </w:tc>
        <w:tc>
          <w:tcPr>
            <w:tcW w:w="2400"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Строк обмеження</w:t>
            </w:r>
          </w:p>
        </w:tc>
      </w:tr>
      <w:tr w:rsidR="000000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2400"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r>
      <w:tr w:rsidR="000000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01.11.2011</w:t>
            </w:r>
          </w:p>
        </w:tc>
        <w:tc>
          <w:tcPr>
            <w:tcW w:w="200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502/1/11</w:t>
            </w:r>
          </w:p>
        </w:tc>
        <w:tc>
          <w:tcPr>
            <w:tcW w:w="200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бездокументарна іменна</w:t>
            </w:r>
          </w:p>
        </w:tc>
        <w:tc>
          <w:tcPr>
            <w:tcW w:w="200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UA4000110258</w:t>
            </w:r>
          </w:p>
        </w:tc>
        <w:tc>
          <w:tcPr>
            <w:tcW w:w="200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Нацiональна комiсiя з цiнних паперiв та фондового ринку</w:t>
            </w:r>
          </w:p>
        </w:tc>
        <w:tc>
          <w:tcPr>
            <w:tcW w:w="350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Розпорядженням Нацiональної комiсiї з цiнних паперiв та фондового ринку № 12/12/2893/СО6-03 вiд 29.08.2025 у зв'язку з перетворенням акцiонерного товариства зупинено обiг акцiй Товариства</w:t>
            </w:r>
          </w:p>
        </w:tc>
        <w:tc>
          <w:tcPr>
            <w:tcW w:w="24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До скасування/вiдновлення обiгу акцiй</w:t>
            </w:r>
          </w:p>
        </w:tc>
      </w:tr>
      <w:tr w:rsidR="000000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13900" w:type="dxa"/>
            <w:gridSpan w:val="6"/>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p>
        </w:tc>
      </w:tr>
    </w:tbl>
    <w:p w:rsidR="00000000" w:rsidRDefault="00BB1AB6">
      <w:pPr>
        <w:widowControl w:val="0"/>
        <w:autoSpaceDE w:val="0"/>
        <w:autoSpaceDN w:val="0"/>
        <w:adjustRightInd w:val="0"/>
        <w:spacing w:after="0" w:line="240" w:lineRule="auto"/>
        <w:rPr>
          <w:rFonts w:ascii="Times New Roman CYR" w:hAnsi="Times New Roman CYR" w:cs="Times New Roman CYR"/>
        </w:rPr>
      </w:pPr>
    </w:p>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 xml:space="preserve">Інформація про загальну кількість голосуючих акцій та кількість голосуючих акцій, права голосу за якими обмежено, </w:t>
      </w:r>
      <w:r>
        <w:rPr>
          <w:rFonts w:ascii="Times New Roman CYR" w:hAnsi="Times New Roman CYR" w:cs="Times New Roman CYR"/>
          <w:b/>
          <w:bCs/>
          <w:sz w:val="24"/>
          <w:szCs w:val="24"/>
        </w:rPr>
        <w:t>а також кількість голосуючих акцій, права голосу за якими за результатами обмеження таких прав передано іншій особі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500"/>
        <w:gridCol w:w="2000"/>
        <w:gridCol w:w="2000"/>
        <w:gridCol w:w="2000"/>
        <w:gridCol w:w="2100"/>
        <w:gridCol w:w="1500"/>
        <w:gridCol w:w="1500"/>
        <w:gridCol w:w="2800"/>
      </w:tblGrid>
      <w:tr w:rsidR="000000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реєстрації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Номер свідоцтва про реєстрацію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Міжнародний ідентифікаційний номер</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акцій у випуску, шт.</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Загальна но</w:t>
            </w:r>
            <w:r>
              <w:rPr>
                <w:rFonts w:ascii="Times New Roman CYR" w:hAnsi="Times New Roman CYR" w:cs="Times New Roman CYR"/>
              </w:rPr>
              <w:t>мінальна вартість, грн</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Загальна кількість голосуючих акцій, шт.</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голосуючих акцій, права голосу за якими обмежено, шт.</w:t>
            </w:r>
          </w:p>
        </w:tc>
        <w:tc>
          <w:tcPr>
            <w:tcW w:w="2800"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голосуючих акцій, права голосу за якими за результатами обмеження таких прав передано іншій особі, шт.</w:t>
            </w:r>
          </w:p>
        </w:tc>
      </w:tr>
      <w:tr w:rsidR="000000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2800"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r>
      <w:tr w:rsidR="000000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01.11.2011</w:t>
            </w:r>
          </w:p>
        </w:tc>
        <w:tc>
          <w:tcPr>
            <w:tcW w:w="200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502/1/11</w:t>
            </w:r>
          </w:p>
        </w:tc>
        <w:tc>
          <w:tcPr>
            <w:tcW w:w="200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UA4000110258</w:t>
            </w:r>
          </w:p>
        </w:tc>
        <w:tc>
          <w:tcPr>
            <w:tcW w:w="200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807 980</w:t>
            </w:r>
          </w:p>
        </w:tc>
        <w:tc>
          <w:tcPr>
            <w:tcW w:w="210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234 475 796</w:t>
            </w:r>
          </w:p>
        </w:tc>
        <w:tc>
          <w:tcPr>
            <w:tcW w:w="150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807 980</w:t>
            </w:r>
          </w:p>
        </w:tc>
        <w:tc>
          <w:tcPr>
            <w:tcW w:w="150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280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13900" w:type="dxa"/>
            <w:gridSpan w:val="7"/>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Характеристика обмеження: обмеження вiдсутнi</w:t>
            </w:r>
          </w:p>
        </w:tc>
      </w:tr>
    </w:tbl>
    <w:p w:rsidR="00000000" w:rsidRDefault="00BB1AB6">
      <w:pPr>
        <w:widowControl w:val="0"/>
        <w:autoSpaceDE w:val="0"/>
        <w:autoSpaceDN w:val="0"/>
        <w:adjustRightInd w:val="0"/>
        <w:spacing w:after="0" w:line="240" w:lineRule="auto"/>
        <w:rPr>
          <w:rFonts w:ascii="Times New Roman CYR" w:hAnsi="Times New Roman CYR" w:cs="Times New Roman CYR"/>
        </w:rPr>
      </w:pPr>
    </w:p>
    <w:p w:rsidR="00000000" w:rsidRDefault="00BB1AB6">
      <w:pPr>
        <w:widowControl w:val="0"/>
        <w:autoSpaceDE w:val="0"/>
        <w:autoSpaceDN w:val="0"/>
        <w:adjustRightInd w:val="0"/>
        <w:spacing w:after="0" w:line="240" w:lineRule="auto"/>
        <w:rPr>
          <w:rFonts w:ascii="Times New Roman CYR" w:hAnsi="Times New Roman CYR" w:cs="Times New Roman CYR"/>
        </w:rPr>
        <w:sectPr w:rsidR="00000000">
          <w:pgSz w:w="16837" w:h="11905" w:orient="landscape"/>
          <w:pgMar w:top="570" w:right="720" w:bottom="570" w:left="720" w:header="708" w:footer="708" w:gutter="0"/>
          <w:cols w:space="720"/>
          <w:noEndnote/>
        </w:sect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III. Фінансова інформація</w:t>
      </w:r>
    </w:p>
    <w:p w:rsidR="00000000" w:rsidRDefault="00BB1AB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1. Проміжна фінансова звітність</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Промiжна фiнансова звiтнiсть на основi таксономiї у машинозчитувальному форматi розмiщена за адресою: https://www.skoda-auto.ua/company/interim_statements25 Посилання на пряме завантаження файлу (архiву) окремої фiнансової звiтностi станом на 30.09.2025 р.</w:t>
      </w:r>
      <w:r>
        <w:rPr>
          <w:rFonts w:ascii="Times New Roman CYR" w:hAnsi="Times New Roman CYR" w:cs="Times New Roman CYR"/>
          <w:sz w:val="24"/>
          <w:szCs w:val="24"/>
        </w:rPr>
        <w:t>: https://www.skoda-auto.ua/_doc/15ae5277-66f8-45d3-bb1b-feeae7914ff7 Iм'я файлу (архiву) Окрема фiнансова звiтнiсть станом на 30.09.2025 р. в ХБРЛ.zipРозмiр файлу 48 KБ (50086 байтiв)SHA256 контрольна сума: 83e4fb3acf1da8829d14382dfc95d71c87275bcc72642cf9</w:t>
      </w:r>
      <w:r>
        <w:rPr>
          <w:rFonts w:ascii="Times New Roman CYR" w:hAnsi="Times New Roman CYR" w:cs="Times New Roman CYR"/>
          <w:sz w:val="24"/>
          <w:szCs w:val="24"/>
        </w:rPr>
        <w:t>944bbbe30a2496d8</w:t>
      </w:r>
    </w:p>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Твердження щодо проміжної інформації</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Офiцiйна позицiя осiб, якi здiйснюють управлiнськi функцiї, про те, що, наскiльки це їм вiдомо, промiжна фiнансова звiтнiсть та промiжна консолiдована фiнансова звiтнiсть, складена вiдповiдно до Мiж</w:t>
      </w:r>
      <w:r>
        <w:rPr>
          <w:rFonts w:ascii="Times New Roman CYR" w:hAnsi="Times New Roman CYR" w:cs="Times New Roman CYR"/>
          <w:sz w:val="24"/>
          <w:szCs w:val="24"/>
        </w:rPr>
        <w:t>народних стандартiв бухгалтерського облiку, що вимагаються згiдно iз Законом України "Про бухгалтерський облiк та фiнансову звiтнiсть", мiстить достовiрну та об'єктивну iнформацiю про стан активiв, пасивiв, фiнансовий стан, прибутки та збитки емiтента, а т</w:t>
      </w:r>
      <w:r>
        <w:rPr>
          <w:rFonts w:ascii="Times New Roman CYR" w:hAnsi="Times New Roman CYR" w:cs="Times New Roman CYR"/>
          <w:sz w:val="24"/>
          <w:szCs w:val="24"/>
        </w:rPr>
        <w:t xml:space="preserve">акож про те, що промiжний звiт керiвництва, що подається вiдповiдно до частини четвертої статтi 127 Закону України "Про ринки капiталу та органiзованi товарнi ринки", мiстить достовiрну та об'єктивну iнформацiю. </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4. Значні правочини та правочини із заінтересованістю</w:t>
      </w:r>
    </w:p>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прийняття рішення про попереднє надання згоди на вчинення значних правочинів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1500"/>
        <w:gridCol w:w="7850"/>
      </w:tblGrid>
      <w:tr w:rsidR="000000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прийняття рішення</w:t>
            </w:r>
          </w:p>
        </w:tc>
        <w:tc>
          <w:tcPr>
            <w:tcW w:w="7850"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URL-адреса власного вебсайту особи, на якій розміщена інформація про прийняття рі</w:t>
            </w:r>
            <w:r>
              <w:rPr>
                <w:rFonts w:ascii="Times New Roman CYR" w:hAnsi="Times New Roman CYR" w:cs="Times New Roman CYR"/>
              </w:rPr>
              <w:t>шення щодо попереднього надання згоди на вчинення значних правочинів</w:t>
            </w:r>
          </w:p>
        </w:tc>
      </w:tr>
      <w:tr w:rsidR="000000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7850" w:type="dxa"/>
            <w:tcBorders>
              <w:top w:val="single" w:sz="6" w:space="0" w:color="auto"/>
              <w:left w:val="single" w:sz="6" w:space="0" w:color="auto"/>
              <w:bottom w:val="single" w:sz="6" w:space="0" w:color="auto"/>
            </w:tcBorders>
            <w:vAlign w:val="center"/>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r>
      <w:tr w:rsidR="000000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500" w:type="dxa"/>
            <w:tcBorders>
              <w:top w:val="single" w:sz="6" w:space="0" w:color="auto"/>
              <w:left w:val="single" w:sz="6" w:space="0" w:color="auto"/>
              <w:bottom w:val="single" w:sz="6" w:space="0" w:color="auto"/>
              <w:right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25.04.2025</w:t>
            </w:r>
          </w:p>
        </w:tc>
        <w:tc>
          <w:tcPr>
            <w:tcW w:w="7850" w:type="dxa"/>
            <w:tcBorders>
              <w:top w:val="single" w:sz="6" w:space="0" w:color="auto"/>
              <w:left w:val="single" w:sz="6" w:space="0" w:color="auto"/>
              <w:bottom w:val="single" w:sz="6" w:space="0" w:color="auto"/>
            </w:tcBorders>
          </w:tcPr>
          <w:p w:rsidR="00000000" w:rsidRDefault="00BB1AB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https://www.skoda-auto.ua/company/emitent-info-2025 </w:t>
            </w:r>
          </w:p>
        </w:tc>
      </w:tr>
    </w:tbl>
    <w:p w:rsidR="00000000" w:rsidRDefault="00BB1AB6">
      <w:pPr>
        <w:widowControl w:val="0"/>
        <w:autoSpaceDE w:val="0"/>
        <w:autoSpaceDN w:val="0"/>
        <w:adjustRightInd w:val="0"/>
        <w:spacing w:after="0" w:line="240" w:lineRule="auto"/>
        <w:rPr>
          <w:rFonts w:ascii="Times New Roman CYR" w:hAnsi="Times New Roman CYR" w:cs="Times New Roman CYR"/>
        </w:rPr>
      </w:pPr>
    </w:p>
    <w:p w:rsidR="00000000" w:rsidRDefault="00BB1AB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IV. Нефінансова інформація</w:t>
      </w:r>
    </w:p>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Проміжний звіт керівництва</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Звернення до акціонерів/учасників та інших стейкхолдерів від голови ради особи</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Вiдсутнє</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Звернення до акціонерів/учасників та інших стейкхолдерів від керівника особи</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Вiдсутнє</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Вказівки на важливі події, що відбулися упродовж звітного періоду, та ї</w:t>
      </w:r>
      <w:r>
        <w:rPr>
          <w:rFonts w:ascii="Times New Roman CYR" w:hAnsi="Times New Roman CYR" w:cs="Times New Roman CYR"/>
          <w:sz w:val="24"/>
          <w:szCs w:val="24"/>
        </w:rPr>
        <w:t>х вплив на проміжну фінансову звітність, а також опис основних ризиків та невизначеностей у діяльності особи</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Важливих для Товариства подiй впродовж звiтного перiоду не вiдбувалося, вiдповiдно, їх вплив на промiжну фiнансову звiтнiсть Товариства вiдсутнiй. </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Спецiального документу, яким би описувалися характеристики систем внутрiшнього контролю та управлiння ризиками в Товариствi, не створено та не затверджено. Проте, при здiйсненнi внутрiшнього контролю використовуються рiзнi методи, вони включають в себе так</w:t>
      </w:r>
      <w:r>
        <w:rPr>
          <w:rFonts w:ascii="Times New Roman CYR" w:hAnsi="Times New Roman CYR" w:cs="Times New Roman CYR"/>
          <w:sz w:val="24"/>
          <w:szCs w:val="24"/>
        </w:rPr>
        <w:t>i елементи, як:</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бухгалтерський фiнансовий облiк (iнвентаризацiя i документацiя, рахунки i подвiйний запис);</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бухгалтерський управлiнський облiк (розподiл обов'язкiв, нормування витрат);</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аудит, контроль (перевiрка документiв, перевiрка вiрностi а</w:t>
      </w:r>
      <w:r>
        <w:rPr>
          <w:rFonts w:ascii="Times New Roman CYR" w:hAnsi="Times New Roman CYR" w:cs="Times New Roman CYR"/>
          <w:sz w:val="24"/>
          <w:szCs w:val="24"/>
        </w:rPr>
        <w:t>рифметичних розрахункiв, пе-ревiрка дотримання правил облiку окремих господарських операцiй, iнвентаризацiя, усне опи-тування персоналу, пiдтвердження i простежування).</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Всi перерахованi вище методи становлять єдину систему i використовуються в процесi упр</w:t>
      </w:r>
      <w:r>
        <w:rPr>
          <w:rFonts w:ascii="Times New Roman CYR" w:hAnsi="Times New Roman CYR" w:cs="Times New Roman CYR"/>
          <w:sz w:val="24"/>
          <w:szCs w:val="24"/>
        </w:rPr>
        <w:t>авлiння Товариством.</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Метою управлiння ризиками є їхня мiнiмiзацiя або мiнiмiзацiя їхнiх наслiдкiв.  Фiнансовi ри-зики постiйно виникають в процесi звичайної дiяльностi Товариства.</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фiнансовi iнструменти пiдприємства, якi несуть в собi фiнансовi ри</w:t>
      </w:r>
      <w:r>
        <w:rPr>
          <w:rFonts w:ascii="Times New Roman CYR" w:hAnsi="Times New Roman CYR" w:cs="Times New Roman CYR"/>
          <w:sz w:val="24"/>
          <w:szCs w:val="24"/>
        </w:rPr>
        <w:t>зики, включають грошовi кошти, дебiторську заборгованiсть, кредиторську заборгованiсть, та пiддаються впливу наступних ризикiв:</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ринковий ризик: змiни на ринку можуть iстотно вплинути на активи/зобов'язання;</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ризик втрати лiквiдностi: товариство може н</w:t>
      </w:r>
      <w:r>
        <w:rPr>
          <w:rFonts w:ascii="Times New Roman CYR" w:hAnsi="Times New Roman CYR" w:cs="Times New Roman CYR"/>
          <w:sz w:val="24"/>
          <w:szCs w:val="24"/>
        </w:rPr>
        <w:t>е виконати своїх зобов'язань з причини недоста-тностi (дефiциту) обiгових коштiв; тож за певних несприятливих обставин, може бути змушене продати свої активи за бiльш низькою цiною, нiж їхня справедлива вартiсть, з метою погашення зобов'язань;</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кредитний</w:t>
      </w:r>
      <w:r>
        <w:rPr>
          <w:rFonts w:ascii="Times New Roman CYR" w:hAnsi="Times New Roman CYR" w:cs="Times New Roman CYR"/>
          <w:sz w:val="24"/>
          <w:szCs w:val="24"/>
        </w:rPr>
        <w:t xml:space="preserve"> ризик: товариство може зазнати збиткiв у разi невиконання фiнансових зобов'язань контрагентами (дебiторами).</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Служби з внутрiшнього контролю та управлiння ризиками в Товариствi не створено. Керiвництво приймає рiшення з мiнiмiзацiї ризикiв, спираючись на </w:t>
      </w:r>
      <w:r>
        <w:rPr>
          <w:rFonts w:ascii="Times New Roman CYR" w:hAnsi="Times New Roman CYR" w:cs="Times New Roman CYR"/>
          <w:sz w:val="24"/>
          <w:szCs w:val="24"/>
        </w:rPr>
        <w:t xml:space="preserve">власнi знання та досвiд, та застосовуючи наявнi ресурси.  </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Всi перерахованi вище методи становлять єдину систему i використовуються в процесi управлiння Товариством.</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Метою управлiння ризиками є їхня мiнiмiзацiя або мiнiмiзацiя їхнiх наслiдкiв.  Фiнансовi ри-зики постiйно виникають в процесi звичайної дiяльностi Товариства.</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фiнансовi iнструменти пiдприємства, якi несуть в собi фiнансовi ризики, включають грошов</w:t>
      </w:r>
      <w:r>
        <w:rPr>
          <w:rFonts w:ascii="Times New Roman CYR" w:hAnsi="Times New Roman CYR" w:cs="Times New Roman CYR"/>
          <w:sz w:val="24"/>
          <w:szCs w:val="24"/>
        </w:rPr>
        <w:t>i кошти, дебiторську заборгованiсть, кредиторську заборгованiсть, та пiддаються впливу наступних ризикiв:</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ринковий ризик: змiни на ринку можуть iстотно вплинути на активи/зобов'язання;</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ризик втрати лiквiдностi: товариство може не виконати своїх зобов</w:t>
      </w:r>
      <w:r>
        <w:rPr>
          <w:rFonts w:ascii="Times New Roman CYR" w:hAnsi="Times New Roman CYR" w:cs="Times New Roman CYR"/>
          <w:sz w:val="24"/>
          <w:szCs w:val="24"/>
        </w:rPr>
        <w:t>'язань з причини недоста-тностi (дефiциту) обiгових коштiв; тож за певних несприятливих обставин, може бути змушене продати свої активи за бiльш низькою цiною, нiж їхня справедлива вартiсть, з метою погашення зобов'язань;</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кредитний ризик: товариство мож</w:t>
      </w:r>
      <w:r>
        <w:rPr>
          <w:rFonts w:ascii="Times New Roman CYR" w:hAnsi="Times New Roman CYR" w:cs="Times New Roman CYR"/>
          <w:sz w:val="24"/>
          <w:szCs w:val="24"/>
        </w:rPr>
        <w:t>е зазнати збиткiв у разi невиконання фiнансових зобов'язань контрагентами (дебiторами).</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Служби з внутрiшнього контролю та управлiння ризиками в Товариствi не створено. Керiвництво приймає рiшення з мiнiмiзацiї ризикiв, спираючись на власнi знання та досвi</w:t>
      </w:r>
      <w:r>
        <w:rPr>
          <w:rFonts w:ascii="Times New Roman CYR" w:hAnsi="Times New Roman CYR" w:cs="Times New Roman CYR"/>
          <w:sz w:val="24"/>
          <w:szCs w:val="24"/>
        </w:rPr>
        <w:t xml:space="preserve">д, та застосовуючи наявнi ресурси.  </w:t>
      </w: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BB1AB6">
      <w:pPr>
        <w:widowControl w:val="0"/>
        <w:autoSpaceDE w:val="0"/>
        <w:autoSpaceDN w:val="0"/>
        <w:adjustRightInd w:val="0"/>
        <w:spacing w:after="0" w:line="240" w:lineRule="auto"/>
        <w:rPr>
          <w:rFonts w:ascii="Times New Roman CYR" w:hAnsi="Times New Roman CYR" w:cs="Times New Roman CYR"/>
          <w:sz w:val="24"/>
          <w:szCs w:val="24"/>
        </w:rPr>
      </w:pPr>
    </w:p>
    <w:p w:rsidR="00BB1AB6" w:rsidRDefault="00BB1AB6">
      <w:pPr>
        <w:widowControl w:val="0"/>
        <w:autoSpaceDE w:val="0"/>
        <w:autoSpaceDN w:val="0"/>
        <w:adjustRightInd w:val="0"/>
        <w:spacing w:after="0" w:line="240" w:lineRule="auto"/>
        <w:rPr>
          <w:rFonts w:ascii="Times New Roman CYR" w:hAnsi="Times New Roman CYR" w:cs="Times New Roman CYR"/>
          <w:sz w:val="24"/>
          <w:szCs w:val="24"/>
        </w:rPr>
      </w:pPr>
    </w:p>
    <w:sectPr w:rsidR="00BB1AB6">
      <w:pgSz w:w="12240" w:h="15840"/>
      <w:pgMar w:top="570" w:right="720" w:bottom="570" w:left="720" w:header="708" w:footer="70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1AB6" w:rsidRDefault="00BB1AB6" w:rsidP="00555F15">
      <w:pPr>
        <w:spacing w:after="0" w:line="240" w:lineRule="auto"/>
      </w:pPr>
      <w:r>
        <w:separator/>
      </w:r>
    </w:p>
  </w:endnote>
  <w:endnote w:type="continuationSeparator" w:id="0">
    <w:p w:rsidR="00BB1AB6" w:rsidRDefault="00BB1AB6" w:rsidP="00555F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1AB6" w:rsidRDefault="00BB1AB6" w:rsidP="00555F15">
      <w:pPr>
        <w:spacing w:after="0" w:line="240" w:lineRule="auto"/>
      </w:pPr>
      <w:r>
        <w:separator/>
      </w:r>
    </w:p>
  </w:footnote>
  <w:footnote w:type="continuationSeparator" w:id="0">
    <w:p w:rsidR="00BB1AB6" w:rsidRDefault="00BB1AB6" w:rsidP="00555F1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5F15" w:rsidRDefault="00555F15">
    <w:pPr>
      <w:pStyle w:val="a3"/>
      <w:jc w:val="center"/>
    </w:pPr>
    <w:fldSimple w:instr=" PAGE   \* MERGEFORMAT ">
      <w:r>
        <w:rPr>
          <w:noProof/>
        </w:rPr>
        <w:t>4</w:t>
      </w:r>
    </w:fldSimple>
  </w:p>
  <w:p w:rsidR="00555F15" w:rsidRDefault="00555F15">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bordersDoNotSurroundHeader/>
  <w:bordersDoNotSurroundFooter/>
  <w:proofState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55F15"/>
    <w:rsid w:val="00555F15"/>
    <w:rsid w:val="00BB1AB6"/>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55F15"/>
    <w:pPr>
      <w:tabs>
        <w:tab w:val="center" w:pos="4819"/>
        <w:tab w:val="right" w:pos="9639"/>
      </w:tabs>
    </w:pPr>
  </w:style>
  <w:style w:type="character" w:customStyle="1" w:styleId="a4">
    <w:name w:val="Верхний колонтитул Знак"/>
    <w:basedOn w:val="a0"/>
    <w:link w:val="a3"/>
    <w:uiPriority w:val="99"/>
    <w:rsid w:val="00555F15"/>
  </w:style>
  <w:style w:type="paragraph" w:styleId="a5">
    <w:name w:val="footer"/>
    <w:basedOn w:val="a"/>
    <w:link w:val="a6"/>
    <w:uiPriority w:val="99"/>
    <w:semiHidden/>
    <w:unhideWhenUsed/>
    <w:rsid w:val="00555F15"/>
    <w:pPr>
      <w:tabs>
        <w:tab w:val="center" w:pos="4819"/>
        <w:tab w:val="right" w:pos="9639"/>
      </w:tabs>
    </w:pPr>
  </w:style>
  <w:style w:type="character" w:customStyle="1" w:styleId="a6">
    <w:name w:val="Нижний колонтитул Знак"/>
    <w:basedOn w:val="a0"/>
    <w:link w:val="a5"/>
    <w:uiPriority w:val="99"/>
    <w:semiHidden/>
    <w:rsid w:val="00555F15"/>
  </w:style>
  <w:style w:type="table" w:styleId="a7">
    <w:name w:val="Table Grid"/>
    <w:basedOn w:val="a1"/>
    <w:uiPriority w:val="59"/>
    <w:rsid w:val="00555F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31</Pages>
  <Words>31043</Words>
  <Characters>17696</Characters>
  <Application>Microsoft Office Word</Application>
  <DocSecurity>0</DocSecurity>
  <Lines>147</Lines>
  <Paragraphs>97</Paragraphs>
  <ScaleCrop>false</ScaleCrop>
  <Company/>
  <LinksUpToDate>false</LinksUpToDate>
  <CharactersWithSpaces>48642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Я</dc:creator>
  <cp:lastModifiedBy>Катерина Я</cp:lastModifiedBy>
  <cp:revision>2</cp:revision>
  <dcterms:created xsi:type="dcterms:W3CDTF">2025-10-31T07:45:00Z</dcterms:created>
  <dcterms:modified xsi:type="dcterms:W3CDTF">2025-10-31T07:45:00Z</dcterms:modified>
</cp:coreProperties>
</file>