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610C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1D0EA81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7AABEB63"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56544A1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28.04.2025</w:t>
            </w:r>
          </w:p>
        </w:tc>
      </w:tr>
      <w:tr w:rsidR="00000000" w14:paraId="25272A22"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30721F4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039DCC20"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6A88226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154</w:t>
            </w:r>
          </w:p>
        </w:tc>
      </w:tr>
      <w:tr w:rsidR="00000000" w14:paraId="16594881" w14:textId="77777777">
        <w:tblPrEx>
          <w:tblCellMar>
            <w:top w:w="0" w:type="dxa"/>
            <w:bottom w:w="0" w:type="dxa"/>
          </w:tblCellMar>
        </w:tblPrEx>
        <w:trPr>
          <w:trHeight w:val="300"/>
        </w:trPr>
        <w:tc>
          <w:tcPr>
            <w:tcW w:w="5230" w:type="dxa"/>
            <w:tcBorders>
              <w:top w:val="nil"/>
              <w:left w:val="nil"/>
              <w:bottom w:val="nil"/>
              <w:right w:val="nil"/>
            </w:tcBorders>
            <w:vAlign w:val="bottom"/>
          </w:tcPr>
          <w:p w14:paraId="57ACAC4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7A3F3F3F"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74C70C7F" w14:textId="77777777">
        <w:tblPrEx>
          <w:tblCellMar>
            <w:top w:w="0" w:type="dxa"/>
            <w:bottom w:w="0" w:type="dxa"/>
          </w:tblCellMar>
        </w:tblPrEx>
        <w:trPr>
          <w:trHeight w:val="300"/>
        </w:trPr>
        <w:tc>
          <w:tcPr>
            <w:tcW w:w="10465" w:type="dxa"/>
            <w:tcBorders>
              <w:top w:val="nil"/>
              <w:left w:val="nil"/>
              <w:bottom w:val="nil"/>
              <w:right w:val="nil"/>
            </w:tcBorders>
            <w:vAlign w:val="bottom"/>
          </w:tcPr>
          <w:p w14:paraId="676A518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13375D86"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429536B0"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4E0B9B0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Генеральний директор</w:t>
            </w:r>
          </w:p>
        </w:tc>
        <w:tc>
          <w:tcPr>
            <w:tcW w:w="216" w:type="dxa"/>
            <w:tcBorders>
              <w:top w:val="nil"/>
              <w:left w:val="nil"/>
              <w:bottom w:val="nil"/>
              <w:right w:val="nil"/>
            </w:tcBorders>
          </w:tcPr>
          <w:p w14:paraId="2E47EC2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183AA6D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1D1FAC2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631BF50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Боярин О.П.</w:t>
            </w:r>
          </w:p>
        </w:tc>
      </w:tr>
      <w:tr w:rsidR="00000000" w14:paraId="2D5BAC4F" w14:textId="77777777">
        <w:tblPrEx>
          <w:tblCellMar>
            <w:top w:w="0" w:type="dxa"/>
            <w:bottom w:w="0" w:type="dxa"/>
          </w:tblCellMar>
        </w:tblPrEx>
        <w:trPr>
          <w:trHeight w:val="200"/>
        </w:trPr>
        <w:tc>
          <w:tcPr>
            <w:tcW w:w="3415" w:type="dxa"/>
            <w:tcBorders>
              <w:top w:val="nil"/>
              <w:left w:val="nil"/>
              <w:bottom w:val="nil"/>
              <w:right w:val="nil"/>
            </w:tcBorders>
          </w:tcPr>
          <w:p w14:paraId="715FC98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2C3978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24994BE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280163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5864C80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30EE29C4"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3BC52097"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14801946"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115652C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37B310B6"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1. Повне найменування: Приватне </w:t>
      </w:r>
      <w:proofErr w:type="spellStart"/>
      <w:r>
        <w:rPr>
          <w:rFonts w:ascii="Times New Roman" w:hAnsi="Times New Roman" w:cs="Times New Roman"/>
          <w:kern w:val="0"/>
        </w:rPr>
        <w:t>акцiонерне</w:t>
      </w:r>
      <w:proofErr w:type="spellEnd"/>
      <w:r>
        <w:rPr>
          <w:rFonts w:ascii="Times New Roman" w:hAnsi="Times New Roman" w:cs="Times New Roman"/>
          <w:kern w:val="0"/>
        </w:rPr>
        <w:t xml:space="preserve"> товариство "</w:t>
      </w:r>
      <w:proofErr w:type="spellStart"/>
      <w:r>
        <w:rPr>
          <w:rFonts w:ascii="Times New Roman" w:hAnsi="Times New Roman" w:cs="Times New Roman"/>
          <w:kern w:val="0"/>
        </w:rPr>
        <w:t>Єврокар</w:t>
      </w:r>
      <w:proofErr w:type="spellEnd"/>
      <w:r>
        <w:rPr>
          <w:rFonts w:ascii="Times New Roman" w:hAnsi="Times New Roman" w:cs="Times New Roman"/>
          <w:kern w:val="0"/>
        </w:rPr>
        <w:t>"</w:t>
      </w:r>
    </w:p>
    <w:p w14:paraId="6B94DD39"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48F7BC0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3. Місцезнаходження: 89460, Закарпатська обл., Ужгородський район, село </w:t>
      </w:r>
      <w:proofErr w:type="spellStart"/>
      <w:r>
        <w:rPr>
          <w:rFonts w:ascii="Times New Roman" w:hAnsi="Times New Roman" w:cs="Times New Roman"/>
          <w:kern w:val="0"/>
        </w:rPr>
        <w:t>Соломоново</w:t>
      </w:r>
      <w:proofErr w:type="spellEnd"/>
      <w:r>
        <w:rPr>
          <w:rFonts w:ascii="Times New Roman" w:hAnsi="Times New Roman" w:cs="Times New Roman"/>
          <w:kern w:val="0"/>
        </w:rPr>
        <w:t>, вул. Перемоги, 46</w:t>
      </w:r>
    </w:p>
    <w:p w14:paraId="62F46C9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30913130</w:t>
      </w:r>
    </w:p>
    <w:p w14:paraId="55F600B1"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+38( 0312) 64-61-30</w:t>
      </w:r>
    </w:p>
    <w:p w14:paraId="59857678"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eurocar@eurocar.ua</w:t>
      </w:r>
    </w:p>
    <w:p w14:paraId="701EB03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645AE08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0D6598C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0DA3DBE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6238B257"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0ED06C16" w14:textId="77777777">
        <w:tblPrEx>
          <w:tblCellMar>
            <w:top w:w="0" w:type="dxa"/>
            <w:bottom w:w="0" w:type="dxa"/>
          </w:tblCellMar>
        </w:tblPrEx>
        <w:trPr>
          <w:trHeight w:val="300"/>
        </w:trPr>
        <w:tc>
          <w:tcPr>
            <w:tcW w:w="3415" w:type="dxa"/>
            <w:vMerge w:val="restart"/>
            <w:tcBorders>
              <w:top w:val="nil"/>
              <w:left w:val="nil"/>
              <w:bottom w:val="nil"/>
              <w:right w:val="nil"/>
            </w:tcBorders>
          </w:tcPr>
          <w:p w14:paraId="341EA9F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176C4ED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https://www.skoda-auto.ua/company/emitent-info-2025</w:t>
            </w:r>
          </w:p>
        </w:tc>
        <w:tc>
          <w:tcPr>
            <w:tcW w:w="1885" w:type="dxa"/>
            <w:tcBorders>
              <w:top w:val="nil"/>
              <w:left w:val="nil"/>
              <w:bottom w:val="single" w:sz="6" w:space="0" w:color="auto"/>
              <w:right w:val="nil"/>
            </w:tcBorders>
            <w:vAlign w:val="bottom"/>
          </w:tcPr>
          <w:p w14:paraId="31185DB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28.04.2025</w:t>
            </w:r>
          </w:p>
        </w:tc>
      </w:tr>
      <w:tr w:rsidR="00000000" w14:paraId="3F6F3155" w14:textId="77777777">
        <w:tblPrEx>
          <w:tblCellMar>
            <w:top w:w="0" w:type="dxa"/>
            <w:bottom w:w="0" w:type="dxa"/>
          </w:tblCellMar>
        </w:tblPrEx>
        <w:trPr>
          <w:trHeight w:val="300"/>
        </w:trPr>
        <w:tc>
          <w:tcPr>
            <w:tcW w:w="3415" w:type="dxa"/>
            <w:vMerge/>
            <w:tcBorders>
              <w:top w:val="nil"/>
              <w:left w:val="nil"/>
              <w:bottom w:val="nil"/>
              <w:right w:val="nil"/>
            </w:tcBorders>
          </w:tcPr>
          <w:p w14:paraId="6CCF2E5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633232E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17D7734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27C453FC"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31D6B6AD"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152AD34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припинення емітента шляхом злиття, приєднання, поділу, перетворення або банкрутства за рішенням вищого органу емітента або суду</w:t>
      </w:r>
    </w:p>
    <w:p w14:paraId="26F9239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4000"/>
        <w:gridCol w:w="3965"/>
      </w:tblGrid>
      <w:tr w:rsidR="00000000" w14:paraId="1B74509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ED8146E"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з/п</w:t>
            </w:r>
          </w:p>
        </w:tc>
        <w:tc>
          <w:tcPr>
            <w:tcW w:w="2000" w:type="dxa"/>
            <w:tcBorders>
              <w:top w:val="single" w:sz="6" w:space="0" w:color="auto"/>
              <w:left w:val="single" w:sz="6" w:space="0" w:color="auto"/>
              <w:bottom w:val="single" w:sz="6" w:space="0" w:color="auto"/>
              <w:right w:val="single" w:sz="6" w:space="0" w:color="auto"/>
            </w:tcBorders>
            <w:vAlign w:val="center"/>
          </w:tcPr>
          <w:p w14:paraId="0294840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прийняття рішення</w:t>
            </w:r>
          </w:p>
        </w:tc>
        <w:tc>
          <w:tcPr>
            <w:tcW w:w="4000" w:type="dxa"/>
            <w:tcBorders>
              <w:top w:val="single" w:sz="6" w:space="0" w:color="auto"/>
              <w:left w:val="single" w:sz="6" w:space="0" w:color="auto"/>
              <w:bottom w:val="single" w:sz="6" w:space="0" w:color="auto"/>
              <w:right w:val="single" w:sz="6" w:space="0" w:color="auto"/>
            </w:tcBorders>
            <w:vAlign w:val="center"/>
          </w:tcPr>
          <w:p w14:paraId="1698A4C8"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Суб'єкт, який прийняв рішення про припинення емітента</w:t>
            </w:r>
          </w:p>
        </w:tc>
        <w:tc>
          <w:tcPr>
            <w:tcW w:w="3965" w:type="dxa"/>
            <w:tcBorders>
              <w:top w:val="single" w:sz="6" w:space="0" w:color="auto"/>
              <w:left w:val="single" w:sz="6" w:space="0" w:color="auto"/>
              <w:bottom w:val="single" w:sz="6" w:space="0" w:color="auto"/>
            </w:tcBorders>
            <w:vAlign w:val="center"/>
          </w:tcPr>
          <w:p w14:paraId="78F649A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Способи припинення</w:t>
            </w:r>
          </w:p>
        </w:tc>
      </w:tr>
      <w:tr w:rsidR="00000000" w14:paraId="5B927B7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84501F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14:paraId="6A69D27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4000" w:type="dxa"/>
            <w:tcBorders>
              <w:top w:val="single" w:sz="6" w:space="0" w:color="auto"/>
              <w:left w:val="single" w:sz="6" w:space="0" w:color="auto"/>
              <w:bottom w:val="single" w:sz="6" w:space="0" w:color="auto"/>
              <w:right w:val="single" w:sz="6" w:space="0" w:color="auto"/>
            </w:tcBorders>
            <w:vAlign w:val="center"/>
          </w:tcPr>
          <w:p w14:paraId="78BB5E9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965" w:type="dxa"/>
            <w:tcBorders>
              <w:top w:val="single" w:sz="6" w:space="0" w:color="auto"/>
              <w:left w:val="single" w:sz="6" w:space="0" w:color="auto"/>
              <w:bottom w:val="single" w:sz="6" w:space="0" w:color="auto"/>
            </w:tcBorders>
            <w:vAlign w:val="center"/>
          </w:tcPr>
          <w:p w14:paraId="4727C3E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r>
      <w:tr w:rsidR="00000000" w14:paraId="15F5527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1D9726D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2000" w:type="dxa"/>
            <w:tcBorders>
              <w:top w:val="single" w:sz="6" w:space="0" w:color="auto"/>
              <w:left w:val="single" w:sz="6" w:space="0" w:color="auto"/>
              <w:bottom w:val="single" w:sz="6" w:space="0" w:color="auto"/>
              <w:right w:val="single" w:sz="6" w:space="0" w:color="auto"/>
            </w:tcBorders>
          </w:tcPr>
          <w:p w14:paraId="4ABA298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25.04.2025</w:t>
            </w:r>
          </w:p>
        </w:tc>
        <w:tc>
          <w:tcPr>
            <w:tcW w:w="4000" w:type="dxa"/>
            <w:tcBorders>
              <w:top w:val="single" w:sz="6" w:space="0" w:color="auto"/>
              <w:left w:val="single" w:sz="6" w:space="0" w:color="auto"/>
              <w:bottom w:val="single" w:sz="6" w:space="0" w:color="auto"/>
              <w:right w:val="single" w:sz="6" w:space="0" w:color="auto"/>
            </w:tcBorders>
          </w:tcPr>
          <w:p w14:paraId="62D7D99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загальні збори акціонерів</w:t>
            </w:r>
          </w:p>
        </w:tc>
        <w:tc>
          <w:tcPr>
            <w:tcW w:w="3965" w:type="dxa"/>
            <w:tcBorders>
              <w:top w:val="single" w:sz="6" w:space="0" w:color="auto"/>
              <w:left w:val="single" w:sz="6" w:space="0" w:color="auto"/>
              <w:bottom w:val="single" w:sz="6" w:space="0" w:color="auto"/>
            </w:tcBorders>
          </w:tcPr>
          <w:p w14:paraId="0DC33C8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Перетворення</w:t>
            </w:r>
          </w:p>
        </w:tc>
      </w:tr>
      <w:tr w:rsidR="00000000" w14:paraId="6CA6A62B" w14:textId="77777777">
        <w:tblPrEx>
          <w:tblCellMar>
            <w:top w:w="0" w:type="dxa"/>
            <w:bottom w:w="0" w:type="dxa"/>
          </w:tblCellMar>
        </w:tblPrEx>
        <w:trPr>
          <w:trHeight w:val="300"/>
        </w:trPr>
        <w:tc>
          <w:tcPr>
            <w:tcW w:w="10465" w:type="dxa"/>
            <w:gridSpan w:val="4"/>
            <w:tcBorders>
              <w:top w:val="single" w:sz="6" w:space="0" w:color="auto"/>
              <w:bottom w:val="single" w:sz="6" w:space="0" w:color="auto"/>
            </w:tcBorders>
            <w:vAlign w:val="center"/>
          </w:tcPr>
          <w:p w14:paraId="7F68A59E"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6C11674E" w14:textId="77777777">
        <w:tblPrEx>
          <w:tblCellMar>
            <w:top w:w="0" w:type="dxa"/>
            <w:bottom w:w="0" w:type="dxa"/>
          </w:tblCellMar>
        </w:tblPrEx>
        <w:trPr>
          <w:trHeight w:val="300"/>
        </w:trPr>
        <w:tc>
          <w:tcPr>
            <w:tcW w:w="10465" w:type="dxa"/>
            <w:gridSpan w:val="4"/>
            <w:tcBorders>
              <w:top w:val="single" w:sz="6" w:space="0" w:color="auto"/>
              <w:bottom w:val="single" w:sz="6" w:space="0" w:color="auto"/>
            </w:tcBorders>
            <w:vAlign w:val="center"/>
          </w:tcPr>
          <w:p w14:paraId="50419E8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Річними загальними зборами акціонерів, які були проведені дистанційно 21.04.2025, прийнято рішення 25.04.2025 (протокол про підсумки голосування від 25.04.2025, протокол річних дистанційних загальних зборів від 25.04.2025 № 28) припинити Приватне акціонерне товариство «ЄВРОКАР» шляхом його перетворення у Товариство з обмеженою відповідальністю «ЄВРОКАР МЕНЬЮФЕКЧУРИНГ».</w:t>
            </w:r>
          </w:p>
          <w:p w14:paraId="006C8CD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Причини такого рішення: у зв'язку з тим, що організаційно-правова форма (акціонерне товариство), в якій на цей час перебуває Товариство, вимагає великих витрат на своє утримання, а також передбачає велику кількість організаційних заходів, передбачених чинним законодавством.</w:t>
            </w:r>
          </w:p>
          <w:p w14:paraId="5F6328F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Загальна кількість акцій - 807 980, кількість голосуючих акцій, що зареєстровані для участі у загальних зборах - 807 980, кількість голосуючих акцій, що проголосували "за" прийняття рішення - 807 980,  кількість голосуючих акцій, що проголосували "проти" прийняття рішення: 0.</w:t>
            </w:r>
          </w:p>
          <w:p w14:paraId="7A27229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Порядок розподілу активів та зобов’язань: всі активи та зобов’язання переходять до товариства–правонаступника відповідно до передавального акту, який має містити положення про правонаступництво щодо всіх зобов’язань Товариства стосовно всіх його кредиторів та боржників. Згідно з передавальним актом відбувається передача всього майна, прав та обов’язків до товариства-правонаступника.</w:t>
            </w:r>
          </w:p>
          <w:p w14:paraId="4A66A2CB"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статутного капіталу правонаступника дорівнює розміру статутного капіталу Товариства і становить 234 475 796,00 грн.</w:t>
            </w:r>
          </w:p>
          <w:p w14:paraId="5E80188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Порядок та умови обміну (конвертації) акцій Товариства на частки товариства з обмеженою відповідальністю-правонаступника:</w:t>
            </w:r>
          </w:p>
          <w:p w14:paraId="733A5B5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1. Акції Товариства конвертуються в частки товариства з обмеженою відповідальністю-правонаступника та розподіляються серед його учасників з коефіцієнтом конвертації, який дорівнює 1; грошові виплати акціонерам не передбачені. Крім простих акцій, інші цінні папери Товариством не випускались.</w:t>
            </w:r>
          </w:p>
          <w:p w14:paraId="20CE35E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2. Обмін акцій Товариства на частки у статутному капіталі товариства-правонаступника здійснюється шляхом включення акціонерів Товариства до числа учасників товариства-правонаступника та зазначення їх, як учасників товариства-правонаступника у Єдиному державному реєстрі юридичних осіб, фізичних осіб-підприємців та громадських формувань.</w:t>
            </w:r>
          </w:p>
          <w:p w14:paraId="21F7968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3. Відсотковий розмір частки кожного власника акцій у статутному капіталі Товариства, що перетворюється, має дорівнювати відсотковому розміру його частки у статутному капіталі товариства-правонаступника, що створюється внаслідок перетворення.</w:t>
            </w:r>
          </w:p>
          <w:p w14:paraId="32573D5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4. Розмір частки кожного учасника у статутному капіталі товариства-правонаступника дорівнює загальній номінальній вартості акцій Товариства, які належать акціонеру. </w:t>
            </w:r>
          </w:p>
          <w:p w14:paraId="57D9338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5. Розподіл часток товариства-правонаступника здійснюється із збереженням співвідношення кількості акцій, що було між акціонерами в статутному капіталі Товариства. Одна акція Товариства номінальною вартістю 290,20 (двісті дев’яносто гривень двадцять копійок) дорівнює розміру однієї частки вартістю 290,20 (двісті дев’яносто гривень двадцять копійок) товариства-правонаступника. Грошові виплати акціонерам не передбачені. Розмір статутного капіталу товариства-правонаступника дорівнює розміру статутного капіталу Товариства.</w:t>
            </w:r>
          </w:p>
          <w:p w14:paraId="429BBF9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Додаткова інформація, яка необхідна для повного і точного розкриття інформації про дію, виходячи з конкретних умов фінансово-господарської діяльності емітента відсутня.</w:t>
            </w:r>
          </w:p>
        </w:tc>
      </w:tr>
    </w:tbl>
    <w:p w14:paraId="72B513AB" w14:textId="77777777" w:rsidR="00581FEB" w:rsidRDefault="00581FEB"/>
    <w:sectPr w:rsidR="00581FEB">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141DD" w14:textId="77777777" w:rsidR="00581FEB" w:rsidRDefault="00581FEB">
      <w:pPr>
        <w:spacing w:after="0" w:line="240" w:lineRule="auto"/>
      </w:pPr>
      <w:r>
        <w:separator/>
      </w:r>
    </w:p>
  </w:endnote>
  <w:endnote w:type="continuationSeparator" w:id="0">
    <w:p w14:paraId="46ECF10D" w14:textId="77777777" w:rsidR="00581FEB" w:rsidRDefault="00581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7716A"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BD30B5">
      <w:rPr>
        <w:rFonts w:ascii="Times New Roman" w:hAnsi="Times New Roman" w:cs="Times New Roman"/>
        <w:kern w:val="0"/>
        <w:sz w:val="20"/>
        <w:szCs w:val="20"/>
        <w:lang w:val="ru-RU"/>
      </w:rPr>
      <w:fldChar w:fldCharType="separate"/>
    </w:r>
    <w:r w:rsidR="00BD30B5">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D1762" w14:textId="77777777" w:rsidR="00581FEB" w:rsidRDefault="00581FEB">
      <w:pPr>
        <w:spacing w:after="0" w:line="240" w:lineRule="auto"/>
      </w:pPr>
      <w:r>
        <w:separator/>
      </w:r>
    </w:p>
  </w:footnote>
  <w:footnote w:type="continuationSeparator" w:id="0">
    <w:p w14:paraId="54904E33" w14:textId="77777777" w:rsidR="00581FEB" w:rsidRDefault="00581F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0B5"/>
    <w:rsid w:val="00581FEB"/>
    <w:rsid w:val="00BD30B5"/>
    <w:rsid w:val="00F913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2909C9"/>
  <w14:defaultImageDpi w14:val="0"/>
  <w15:docId w15:val="{CFBE9E48-1446-441F-BD6E-3F66BCDE5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3836</Words>
  <Characters>2188</Characters>
  <Application>Microsoft Office Word</Application>
  <DocSecurity>0</DocSecurity>
  <Lines>18</Lines>
  <Paragraphs>12</Paragraphs>
  <ScaleCrop>false</ScaleCrop>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2025-04-28T13:32:00Z</dcterms:created>
  <dcterms:modified xsi:type="dcterms:W3CDTF">2025-04-28T13:32:00Z</dcterms:modified>
</cp:coreProperties>
</file>